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07" w:rsidRPr="00861151" w:rsidRDefault="000C1007" w:rsidP="00861151">
      <w:pPr>
        <w:spacing w:after="0"/>
        <w:rPr>
          <w:rFonts w:eastAsiaTheme="minorEastAsia" w:cs="Times New Roman"/>
          <w:b/>
          <w:sz w:val="18"/>
          <w:szCs w:val="18"/>
        </w:rPr>
      </w:pPr>
      <w:r w:rsidRPr="00861151">
        <w:rPr>
          <w:rFonts w:eastAsiaTheme="minorEastAsia" w:cs="Times New Roman"/>
          <w:b/>
          <w:sz w:val="18"/>
          <w:szCs w:val="18"/>
        </w:rPr>
        <w:t>Notes:</w:t>
      </w:r>
    </w:p>
    <w:p w:rsidR="00861151" w:rsidRDefault="00861151" w:rsidP="00861151">
      <w:pPr>
        <w:tabs>
          <w:tab w:val="left" w:pos="720"/>
        </w:tabs>
        <w:autoSpaceDE w:val="0"/>
        <w:autoSpaceDN w:val="0"/>
        <w:adjustRightInd w:val="0"/>
        <w:spacing w:after="0" w:line="120" w:lineRule="exact"/>
        <w:jc w:val="both"/>
        <w:rPr>
          <w:rFonts w:ascii="Calibri" w:hAnsi="Calibri"/>
          <w:b/>
          <w:bCs/>
          <w:sz w:val="18"/>
          <w:szCs w:val="18"/>
        </w:rPr>
      </w:pPr>
    </w:p>
    <w:p w:rsidR="00861151" w:rsidRDefault="00861151" w:rsidP="008F7EB0">
      <w:pPr>
        <w:ind w:right="144"/>
        <w:jc w:val="both"/>
        <w:rPr>
          <w:rFonts w:ascii="Calibri" w:hAnsi="Calibri"/>
          <w:b/>
          <w:bCs/>
          <w:sz w:val="18"/>
          <w:szCs w:val="18"/>
        </w:rPr>
      </w:pPr>
      <w:r>
        <w:rPr>
          <w:rFonts w:ascii="Calibri" w:hAnsi="Calibri"/>
          <w:b/>
          <w:bCs/>
          <w:sz w:val="18"/>
          <w:szCs w:val="18"/>
        </w:rPr>
        <w:t>The above analysis and data are based on last available prices and not official closing rates.  SKP Research is also available on Bloomberg and Thomson First Call.</w:t>
      </w:r>
    </w:p>
    <w:p w:rsidR="000C1007" w:rsidRDefault="000C1007" w:rsidP="00861151">
      <w:pPr>
        <w:tabs>
          <w:tab w:val="left" w:pos="720"/>
        </w:tabs>
        <w:autoSpaceDE w:val="0"/>
        <w:autoSpaceDN w:val="0"/>
        <w:adjustRightInd w:val="0"/>
        <w:spacing w:after="0" w:line="120" w:lineRule="exact"/>
        <w:jc w:val="both"/>
        <w:rPr>
          <w:rFonts w:ascii="Times New Roman" w:eastAsiaTheme="minorEastAsia" w:hAnsi="Times New Roman" w:cs="Times New Roman"/>
          <w:b/>
        </w:rPr>
      </w:pPr>
    </w:p>
    <w:p w:rsidR="000C1007" w:rsidRPr="00861151" w:rsidRDefault="000C1007" w:rsidP="00861151">
      <w:pPr>
        <w:spacing w:after="0"/>
        <w:rPr>
          <w:rFonts w:eastAsiaTheme="minorEastAsia" w:cs="Times New Roman"/>
          <w:b/>
          <w:sz w:val="18"/>
          <w:szCs w:val="18"/>
        </w:rPr>
      </w:pPr>
      <w:r w:rsidRPr="00861151">
        <w:rPr>
          <w:rFonts w:eastAsiaTheme="minorEastAsia" w:cs="Times New Roman"/>
          <w:b/>
          <w:sz w:val="18"/>
          <w:szCs w:val="18"/>
        </w:rPr>
        <w:t>Disclaimer:</w:t>
      </w:r>
    </w:p>
    <w:p w:rsidR="00C94A5B" w:rsidRPr="00861151" w:rsidRDefault="00C9469E" w:rsidP="00497719">
      <w:pPr>
        <w:tabs>
          <w:tab w:val="left" w:pos="720"/>
        </w:tabs>
        <w:autoSpaceDE w:val="0"/>
        <w:autoSpaceDN w:val="0"/>
        <w:adjustRightInd w:val="0"/>
        <w:spacing w:after="0" w:line="240" w:lineRule="auto"/>
        <w:jc w:val="both"/>
        <w:rPr>
          <w:rFonts w:eastAsiaTheme="minorEastAsia" w:cs="Times New Roman"/>
          <w:sz w:val="18"/>
          <w:szCs w:val="18"/>
        </w:rPr>
      </w:pPr>
      <w:r w:rsidRPr="00861151">
        <w:rPr>
          <w:rFonts w:eastAsiaTheme="minorEastAsia" w:cs="Times New Roman"/>
          <w:sz w:val="18"/>
          <w:szCs w:val="18"/>
        </w:rPr>
        <w:t>This document has been prepared by SKP Securities Ltd, hereinafter referred to as SKP to provid</w:t>
      </w:r>
      <w:r w:rsidR="0032522D" w:rsidRPr="00861151">
        <w:rPr>
          <w:rFonts w:eastAsiaTheme="minorEastAsia" w:cs="Times New Roman"/>
          <w:sz w:val="18"/>
          <w:szCs w:val="18"/>
        </w:rPr>
        <w:t>e information about the company</w:t>
      </w:r>
      <w:r w:rsidRPr="00861151">
        <w:rPr>
          <w:rFonts w:eastAsiaTheme="minorEastAsia" w:cs="Times New Roman"/>
          <w:sz w:val="18"/>
          <w:szCs w:val="18"/>
        </w:rPr>
        <w:t>(ies)/sector(s), if any, covered in the report and may be distributed by it and/or its affiliates.</w:t>
      </w:r>
      <w:r w:rsidR="000C1007" w:rsidRPr="00861151">
        <w:rPr>
          <w:rFonts w:eastAsiaTheme="minorEastAsia" w:cs="Times New Roman"/>
          <w:sz w:val="18"/>
          <w:szCs w:val="18"/>
        </w:rPr>
        <w:t xml:space="preserve"> </w:t>
      </w:r>
      <w:r w:rsidR="00901193" w:rsidRPr="00861151">
        <w:rPr>
          <w:rFonts w:eastAsiaTheme="minorEastAsia" w:cs="Times New Roman"/>
          <w:sz w:val="18"/>
          <w:szCs w:val="18"/>
        </w:rPr>
        <w:t>SKP Securities Ltd.,</w:t>
      </w:r>
      <w:r w:rsidR="000C1007" w:rsidRPr="00861151">
        <w:rPr>
          <w:rFonts w:eastAsiaTheme="minorEastAsia" w:cs="Times New Roman"/>
          <w:sz w:val="18"/>
          <w:szCs w:val="18"/>
        </w:rPr>
        <w:t xml:space="preserve"> </w:t>
      </w:r>
      <w:r w:rsidR="00804714" w:rsidRPr="00861151">
        <w:rPr>
          <w:rFonts w:eastAsiaTheme="minorEastAsia" w:cs="Times New Roman"/>
          <w:sz w:val="18"/>
          <w:szCs w:val="18"/>
        </w:rPr>
        <w:t xml:space="preserve">offers </w:t>
      </w:r>
      <w:r w:rsidR="000F1DD0" w:rsidRPr="00861151">
        <w:rPr>
          <w:rFonts w:eastAsiaTheme="minorEastAsia" w:cs="Times New Roman"/>
          <w:sz w:val="18"/>
          <w:szCs w:val="18"/>
        </w:rPr>
        <w:t>B</w:t>
      </w:r>
      <w:r w:rsidR="00804714" w:rsidRPr="00861151">
        <w:rPr>
          <w:rFonts w:eastAsiaTheme="minorEastAsia" w:cs="Times New Roman"/>
          <w:sz w:val="18"/>
          <w:szCs w:val="18"/>
        </w:rPr>
        <w:t>rokin</w:t>
      </w:r>
      <w:r w:rsidR="00376B41" w:rsidRPr="00861151">
        <w:rPr>
          <w:rFonts w:eastAsiaTheme="minorEastAsia" w:cs="Times New Roman"/>
          <w:sz w:val="18"/>
          <w:szCs w:val="18"/>
        </w:rPr>
        <w:t>g</w:t>
      </w:r>
      <w:r w:rsidR="000F1DD0" w:rsidRPr="00861151">
        <w:rPr>
          <w:rFonts w:eastAsiaTheme="minorEastAsia" w:cs="Times New Roman"/>
          <w:sz w:val="18"/>
          <w:szCs w:val="18"/>
        </w:rPr>
        <w:t>,</w:t>
      </w:r>
      <w:r w:rsidR="000C1007" w:rsidRPr="00861151">
        <w:rPr>
          <w:rFonts w:eastAsiaTheme="minorEastAsia" w:cs="Times New Roman"/>
          <w:sz w:val="18"/>
          <w:szCs w:val="18"/>
        </w:rPr>
        <w:t xml:space="preserve"> </w:t>
      </w:r>
      <w:r w:rsidR="000F1DD0" w:rsidRPr="00861151">
        <w:rPr>
          <w:rFonts w:eastAsiaTheme="minorEastAsia" w:cs="Times New Roman"/>
          <w:sz w:val="18"/>
          <w:szCs w:val="18"/>
        </w:rPr>
        <w:t>D</w:t>
      </w:r>
      <w:r w:rsidR="0032522D" w:rsidRPr="00861151">
        <w:rPr>
          <w:rFonts w:eastAsiaTheme="minorEastAsia" w:cs="Times New Roman"/>
          <w:sz w:val="18"/>
          <w:szCs w:val="18"/>
        </w:rPr>
        <w:t xml:space="preserve">epository </w:t>
      </w:r>
      <w:r w:rsidR="00376B41" w:rsidRPr="00861151">
        <w:rPr>
          <w:rFonts w:eastAsiaTheme="minorEastAsia" w:cs="Times New Roman"/>
          <w:sz w:val="18"/>
          <w:szCs w:val="18"/>
        </w:rPr>
        <w:t>P</w:t>
      </w:r>
      <w:r w:rsidR="0032522D" w:rsidRPr="00861151">
        <w:rPr>
          <w:rFonts w:eastAsiaTheme="minorEastAsia" w:cs="Times New Roman"/>
          <w:sz w:val="18"/>
          <w:szCs w:val="18"/>
        </w:rPr>
        <w:t>articipant</w:t>
      </w:r>
      <w:r w:rsidR="000F1DD0" w:rsidRPr="00861151">
        <w:rPr>
          <w:rFonts w:eastAsiaTheme="minorEastAsia" w:cs="Times New Roman"/>
          <w:sz w:val="18"/>
          <w:szCs w:val="18"/>
        </w:rPr>
        <w:t xml:space="preserve">, Merchant </w:t>
      </w:r>
      <w:r w:rsidR="00376B41" w:rsidRPr="00861151">
        <w:rPr>
          <w:rFonts w:eastAsiaTheme="minorEastAsia" w:cs="Times New Roman"/>
          <w:sz w:val="18"/>
          <w:szCs w:val="18"/>
        </w:rPr>
        <w:t>B</w:t>
      </w:r>
      <w:r w:rsidR="000F1DD0" w:rsidRPr="00861151">
        <w:rPr>
          <w:rFonts w:eastAsiaTheme="minorEastAsia" w:cs="Times New Roman"/>
          <w:sz w:val="18"/>
          <w:szCs w:val="18"/>
        </w:rPr>
        <w:t>anking and Portfolio Manag</w:t>
      </w:r>
      <w:r w:rsidR="00376B41" w:rsidRPr="00861151">
        <w:rPr>
          <w:rFonts w:eastAsiaTheme="minorEastAsia" w:cs="Times New Roman"/>
          <w:sz w:val="18"/>
          <w:szCs w:val="18"/>
        </w:rPr>
        <w:t xml:space="preserve">ement </w:t>
      </w:r>
      <w:r w:rsidR="000F1DD0" w:rsidRPr="00861151">
        <w:rPr>
          <w:rFonts w:eastAsiaTheme="minorEastAsia" w:cs="Times New Roman"/>
          <w:sz w:val="18"/>
          <w:szCs w:val="18"/>
        </w:rPr>
        <w:t>Services</w:t>
      </w:r>
      <w:r w:rsidR="0032522D" w:rsidRPr="00861151">
        <w:rPr>
          <w:rFonts w:eastAsiaTheme="minorEastAsia" w:cs="Times New Roman"/>
          <w:sz w:val="18"/>
          <w:szCs w:val="18"/>
        </w:rPr>
        <w:t xml:space="preserve"> and is</w:t>
      </w:r>
      <w:r w:rsidR="00804714" w:rsidRPr="00861151">
        <w:rPr>
          <w:rFonts w:eastAsiaTheme="minorEastAsia" w:cs="Times New Roman"/>
          <w:sz w:val="18"/>
          <w:szCs w:val="18"/>
        </w:rPr>
        <w:t xml:space="preserve"> regulated by Securities and E</w:t>
      </w:r>
      <w:r w:rsidR="00A522DA" w:rsidRPr="00861151">
        <w:rPr>
          <w:rFonts w:eastAsiaTheme="minorEastAsia" w:cs="Times New Roman"/>
          <w:sz w:val="18"/>
          <w:szCs w:val="18"/>
        </w:rPr>
        <w:t>xchange Bo</w:t>
      </w:r>
      <w:r w:rsidR="00804714" w:rsidRPr="00861151">
        <w:rPr>
          <w:rFonts w:eastAsiaTheme="minorEastAsia" w:cs="Times New Roman"/>
          <w:sz w:val="18"/>
          <w:szCs w:val="18"/>
        </w:rPr>
        <w:t xml:space="preserve">ard of India (SEBI). It also distributes investment products/services like mutual funds, alternative investment funds, </w:t>
      </w:r>
      <w:r w:rsidR="00CB6A25" w:rsidRPr="00861151">
        <w:rPr>
          <w:rFonts w:eastAsiaTheme="minorEastAsia" w:cs="Times New Roman"/>
          <w:sz w:val="18"/>
          <w:szCs w:val="18"/>
        </w:rPr>
        <w:t xml:space="preserve">bonds, IPOs, etc., renders corporate advisory services and invests its own funds in securities and investment products. </w:t>
      </w:r>
      <w:r w:rsidR="00901193" w:rsidRPr="00861151">
        <w:rPr>
          <w:rFonts w:eastAsiaTheme="minorEastAsia" w:cs="Times New Roman"/>
          <w:sz w:val="18"/>
          <w:szCs w:val="18"/>
        </w:rPr>
        <w:t>We</w:t>
      </w:r>
      <w:r w:rsidR="000C1007" w:rsidRPr="00861151">
        <w:rPr>
          <w:rFonts w:eastAsiaTheme="minorEastAsia" w:cs="Times New Roman"/>
          <w:sz w:val="18"/>
          <w:szCs w:val="18"/>
        </w:rPr>
        <w:t xml:space="preserve"> </w:t>
      </w:r>
      <w:r w:rsidR="00901193" w:rsidRPr="00861151">
        <w:rPr>
          <w:rFonts w:eastAsiaTheme="minorEastAsia" w:cs="Times New Roman"/>
          <w:sz w:val="18"/>
          <w:szCs w:val="18"/>
        </w:rPr>
        <w:t>declare</w:t>
      </w:r>
      <w:r w:rsidR="00731E85" w:rsidRPr="00861151">
        <w:rPr>
          <w:rFonts w:eastAsiaTheme="minorEastAsia" w:cs="Times New Roman"/>
          <w:sz w:val="18"/>
          <w:szCs w:val="18"/>
        </w:rPr>
        <w:t xml:space="preserve"> that no material disci</w:t>
      </w:r>
      <w:r w:rsidR="0032522D" w:rsidRPr="00861151">
        <w:rPr>
          <w:rFonts w:eastAsiaTheme="minorEastAsia" w:cs="Times New Roman"/>
          <w:sz w:val="18"/>
          <w:szCs w:val="18"/>
        </w:rPr>
        <w:t>plinary action has been taken against</w:t>
      </w:r>
      <w:r w:rsidR="00731E85" w:rsidRPr="00861151">
        <w:rPr>
          <w:rFonts w:eastAsiaTheme="minorEastAsia" w:cs="Times New Roman"/>
          <w:sz w:val="18"/>
          <w:szCs w:val="18"/>
        </w:rPr>
        <w:t xml:space="preserve"> SKP by any regulatory authority impacting Equity Research Analysis. </w:t>
      </w:r>
      <w:r w:rsidR="00CB6A25" w:rsidRPr="00861151">
        <w:rPr>
          <w:rFonts w:eastAsiaTheme="minorEastAsia" w:cs="Times New Roman"/>
          <w:sz w:val="18"/>
          <w:szCs w:val="18"/>
        </w:rPr>
        <w:t xml:space="preserve">As a value addition to its clients, it offers its research services and reports in various formats to its clients and prospects. As such, </w:t>
      </w:r>
      <w:r w:rsidR="0032522D" w:rsidRPr="00861151">
        <w:rPr>
          <w:rFonts w:eastAsiaTheme="minorEastAsia" w:cs="Times New Roman"/>
          <w:sz w:val="18"/>
          <w:szCs w:val="18"/>
        </w:rPr>
        <w:t xml:space="preserve">SKP is making </w:t>
      </w:r>
      <w:r w:rsidR="00CB6A25" w:rsidRPr="00861151">
        <w:rPr>
          <w:rFonts w:eastAsiaTheme="minorEastAsia" w:cs="Times New Roman"/>
          <w:sz w:val="18"/>
          <w:szCs w:val="18"/>
        </w:rPr>
        <w:t>t</w:t>
      </w:r>
      <w:r w:rsidR="0032522D" w:rsidRPr="00861151">
        <w:rPr>
          <w:rFonts w:eastAsiaTheme="minorEastAsia" w:cs="Times New Roman"/>
          <w:sz w:val="18"/>
          <w:szCs w:val="18"/>
        </w:rPr>
        <w:t xml:space="preserve">hese disclosures </w:t>
      </w:r>
      <w:r w:rsidR="00CB6A25" w:rsidRPr="00861151">
        <w:rPr>
          <w:rFonts w:eastAsiaTheme="minorEastAsia" w:cs="Times New Roman"/>
          <w:sz w:val="18"/>
          <w:szCs w:val="18"/>
        </w:rPr>
        <w:t>under SEBI (Research Analysts) Regul</w:t>
      </w:r>
      <w:r w:rsidRPr="00861151">
        <w:rPr>
          <w:rFonts w:eastAsiaTheme="minorEastAsia" w:cs="Times New Roman"/>
          <w:sz w:val="18"/>
          <w:szCs w:val="18"/>
        </w:rPr>
        <w:t>ations, 2014</w:t>
      </w:r>
      <w:r w:rsidR="00861151">
        <w:rPr>
          <w:rFonts w:eastAsiaTheme="minorEastAsia" w:cs="Times New Roman"/>
          <w:sz w:val="18"/>
          <w:szCs w:val="18"/>
        </w:rPr>
        <w:t>.</w:t>
      </w:r>
    </w:p>
    <w:p w:rsidR="00497719" w:rsidRPr="00861151" w:rsidRDefault="00497719" w:rsidP="00497719">
      <w:pPr>
        <w:tabs>
          <w:tab w:val="left" w:pos="720"/>
        </w:tabs>
        <w:autoSpaceDE w:val="0"/>
        <w:autoSpaceDN w:val="0"/>
        <w:adjustRightInd w:val="0"/>
        <w:spacing w:after="0" w:line="240" w:lineRule="auto"/>
        <w:jc w:val="both"/>
        <w:rPr>
          <w:rFonts w:cs="Times New Roman"/>
          <w:b/>
          <w:bCs/>
          <w:color w:val="4D4948"/>
          <w:sz w:val="18"/>
          <w:szCs w:val="18"/>
        </w:rPr>
      </w:pPr>
    </w:p>
    <w:p w:rsidR="009805ED" w:rsidRPr="00861151" w:rsidRDefault="00C94A5B" w:rsidP="00861151">
      <w:pPr>
        <w:spacing w:after="0"/>
        <w:rPr>
          <w:rFonts w:eastAsiaTheme="minorEastAsia" w:cs="Times New Roman"/>
          <w:b/>
          <w:sz w:val="18"/>
          <w:szCs w:val="18"/>
        </w:rPr>
      </w:pPr>
      <w:r w:rsidRPr="00861151">
        <w:rPr>
          <w:rFonts w:eastAsiaTheme="minorEastAsia" w:cs="Times New Roman"/>
          <w:b/>
          <w:sz w:val="18"/>
          <w:szCs w:val="18"/>
        </w:rPr>
        <w:t>Terms &amp; Conditions and Other Disclosures:</w:t>
      </w:r>
    </w:p>
    <w:p w:rsidR="00BC74EE" w:rsidRPr="00861151" w:rsidRDefault="00C36E83" w:rsidP="00861151">
      <w:pPr>
        <w:tabs>
          <w:tab w:val="left" w:pos="720"/>
        </w:tabs>
        <w:autoSpaceDE w:val="0"/>
        <w:autoSpaceDN w:val="0"/>
        <w:adjustRightInd w:val="0"/>
        <w:spacing w:after="0" w:line="240" w:lineRule="auto"/>
        <w:jc w:val="both"/>
        <w:rPr>
          <w:rFonts w:eastAsiaTheme="minorEastAsia" w:cs="Times New Roman"/>
          <w:sz w:val="18"/>
          <w:szCs w:val="18"/>
        </w:rPr>
      </w:pPr>
      <w:r w:rsidRPr="00861151">
        <w:rPr>
          <w:rFonts w:eastAsiaTheme="minorEastAsia" w:cs="Times New Roman"/>
          <w:sz w:val="18"/>
          <w:szCs w:val="18"/>
        </w:rPr>
        <w:t>This research report (“Report”) is for the person</w:t>
      </w:r>
      <w:r w:rsidR="00C9469E" w:rsidRPr="00861151">
        <w:rPr>
          <w:rFonts w:eastAsiaTheme="minorEastAsia" w:cs="Times New Roman"/>
          <w:sz w:val="18"/>
          <w:szCs w:val="18"/>
        </w:rPr>
        <w:t>al information of the se</w:t>
      </w:r>
      <w:r w:rsidR="00384269" w:rsidRPr="00861151">
        <w:rPr>
          <w:rFonts w:eastAsiaTheme="minorEastAsia" w:cs="Times New Roman"/>
          <w:sz w:val="18"/>
          <w:szCs w:val="18"/>
        </w:rPr>
        <w:t>lected</w:t>
      </w:r>
      <w:r w:rsidRPr="00861151">
        <w:rPr>
          <w:rFonts w:eastAsiaTheme="minorEastAsia" w:cs="Times New Roman"/>
          <w:sz w:val="18"/>
          <w:szCs w:val="18"/>
        </w:rPr>
        <w:t xml:space="preserve"> recipient(s)</w:t>
      </w:r>
      <w:r w:rsidR="00384269" w:rsidRPr="00861151">
        <w:rPr>
          <w:rFonts w:eastAsiaTheme="minorEastAsia" w:cs="Times New Roman"/>
          <w:sz w:val="18"/>
          <w:szCs w:val="18"/>
        </w:rPr>
        <w:t>, does not construe to be any inves</w:t>
      </w:r>
      <w:r w:rsidR="0032522D" w:rsidRPr="00861151">
        <w:rPr>
          <w:rFonts w:eastAsiaTheme="minorEastAsia" w:cs="Times New Roman"/>
          <w:sz w:val="18"/>
          <w:szCs w:val="18"/>
        </w:rPr>
        <w:t>tment, legal or taxation advi</w:t>
      </w:r>
      <w:r w:rsidR="0031634A">
        <w:rPr>
          <w:rFonts w:eastAsiaTheme="minorEastAsia" w:cs="Times New Roman"/>
          <w:sz w:val="18"/>
          <w:szCs w:val="18"/>
        </w:rPr>
        <w:t>s</w:t>
      </w:r>
      <w:r w:rsidR="0032522D" w:rsidRPr="00861151">
        <w:rPr>
          <w:rFonts w:eastAsiaTheme="minorEastAsia" w:cs="Times New Roman"/>
          <w:sz w:val="18"/>
          <w:szCs w:val="18"/>
        </w:rPr>
        <w:t xml:space="preserve">e, </w:t>
      </w:r>
      <w:r w:rsidRPr="00861151">
        <w:rPr>
          <w:rFonts w:eastAsiaTheme="minorEastAsia" w:cs="Times New Roman"/>
          <w:sz w:val="18"/>
          <w:szCs w:val="18"/>
        </w:rPr>
        <w:t xml:space="preserve">is not for public distribution and should not be </w:t>
      </w:r>
      <w:r w:rsidR="0032522D" w:rsidRPr="00861151">
        <w:rPr>
          <w:rFonts w:eastAsiaTheme="minorEastAsia" w:cs="Times New Roman"/>
          <w:sz w:val="18"/>
          <w:szCs w:val="18"/>
        </w:rPr>
        <w:t xml:space="preserve">copied, </w:t>
      </w:r>
      <w:r w:rsidRPr="00861151">
        <w:rPr>
          <w:rFonts w:eastAsiaTheme="minorEastAsia" w:cs="Times New Roman"/>
          <w:sz w:val="18"/>
          <w:szCs w:val="18"/>
        </w:rPr>
        <w:t>reproduced or redistributed to any other person or in any form without SKP’s prior permission. The information provided in the Report is from publicly available data, which we believe, are reliable. While reasonable endeavors have been made to present reliable data in the Report so far as it relates to current and historical information, but SKP does not guarantee the accuracy or completeness of the data in th</w:t>
      </w:r>
      <w:r w:rsidR="005E7938" w:rsidRPr="00861151">
        <w:rPr>
          <w:rFonts w:eastAsiaTheme="minorEastAsia" w:cs="Times New Roman"/>
          <w:sz w:val="18"/>
          <w:szCs w:val="18"/>
        </w:rPr>
        <w:t xml:space="preserve">e Report. Accordingly, SKP or its promoters, </w:t>
      </w:r>
      <w:r w:rsidR="00E665F3" w:rsidRPr="00861151">
        <w:rPr>
          <w:rFonts w:eastAsiaTheme="minorEastAsia" w:cs="Times New Roman"/>
          <w:sz w:val="18"/>
          <w:szCs w:val="18"/>
        </w:rPr>
        <w:t xml:space="preserve">directors, subsidiaries, </w:t>
      </w:r>
      <w:r w:rsidRPr="00861151">
        <w:rPr>
          <w:rFonts w:eastAsiaTheme="minorEastAsia" w:cs="Times New Roman"/>
          <w:sz w:val="18"/>
          <w:szCs w:val="18"/>
        </w:rPr>
        <w:t>associates or employees shall not be in any way responsible for any loss or damage that may arise to any person from any inadvertent err</w:t>
      </w:r>
      <w:r w:rsidR="00384269" w:rsidRPr="00861151">
        <w:rPr>
          <w:rFonts w:eastAsiaTheme="minorEastAsia" w:cs="Times New Roman"/>
          <w:sz w:val="18"/>
          <w:szCs w:val="18"/>
        </w:rPr>
        <w:t>or in the information contained and</w:t>
      </w:r>
      <w:r w:rsidRPr="00861151">
        <w:rPr>
          <w:rFonts w:eastAsiaTheme="minorEastAsia" w:cs="Times New Roman"/>
          <w:sz w:val="18"/>
          <w:szCs w:val="18"/>
        </w:rPr>
        <w:t xml:space="preserve"> views and opinions expressed in this publication.</w:t>
      </w:r>
      <w:r w:rsidR="000C1007" w:rsidRPr="00861151">
        <w:rPr>
          <w:rFonts w:eastAsiaTheme="minorEastAsia" w:cs="Times New Roman"/>
          <w:sz w:val="18"/>
          <w:szCs w:val="18"/>
        </w:rPr>
        <w:t xml:space="preserve"> </w:t>
      </w:r>
      <w:r w:rsidRPr="00861151">
        <w:rPr>
          <w:rFonts w:eastAsiaTheme="minorEastAsia" w:cs="Times New Roman"/>
          <w:sz w:val="18"/>
          <w:szCs w:val="18"/>
        </w:rPr>
        <w:t xml:space="preserve">Past performance </w:t>
      </w:r>
      <w:r w:rsidR="00A761B2" w:rsidRPr="00861151">
        <w:rPr>
          <w:rFonts w:eastAsiaTheme="minorEastAsia" w:cs="Times New Roman"/>
          <w:sz w:val="18"/>
          <w:szCs w:val="18"/>
        </w:rPr>
        <w:t xml:space="preserve">mentioned in the Report </w:t>
      </w:r>
      <w:r w:rsidRPr="00861151">
        <w:rPr>
          <w:rFonts w:eastAsiaTheme="minorEastAsia" w:cs="Times New Roman"/>
          <w:sz w:val="18"/>
          <w:szCs w:val="18"/>
        </w:rPr>
        <w:t>should not be taken as an indication or guarantee of future performance, and no representation or warranty, express or implied, is made regarding future performance. Information, opinions and estimates contained in this report reflect a judgment of its original date of publication by SKP and are subject to change without notice. The price, value of and income from any of the secu</w:t>
      </w:r>
      <w:r w:rsidR="0032522D" w:rsidRPr="00861151">
        <w:rPr>
          <w:rFonts w:eastAsiaTheme="minorEastAsia" w:cs="Times New Roman"/>
          <w:sz w:val="18"/>
          <w:szCs w:val="18"/>
        </w:rPr>
        <w:t xml:space="preserve">rities </w:t>
      </w:r>
      <w:r w:rsidRPr="00861151">
        <w:rPr>
          <w:rFonts w:eastAsiaTheme="minorEastAsia" w:cs="Times New Roman"/>
          <w:sz w:val="18"/>
          <w:szCs w:val="18"/>
        </w:rPr>
        <w:t xml:space="preserve">mentioned in </w:t>
      </w:r>
      <w:r w:rsidR="00901193" w:rsidRPr="00861151">
        <w:rPr>
          <w:rFonts w:eastAsiaTheme="minorEastAsia" w:cs="Times New Roman"/>
          <w:sz w:val="18"/>
          <w:szCs w:val="18"/>
        </w:rPr>
        <w:t xml:space="preserve">this report can </w:t>
      </w:r>
      <w:r w:rsidRPr="00861151">
        <w:rPr>
          <w:rFonts w:eastAsiaTheme="minorEastAsia" w:cs="Times New Roman"/>
          <w:sz w:val="18"/>
          <w:szCs w:val="18"/>
        </w:rPr>
        <w:t>rise</w:t>
      </w:r>
      <w:r w:rsidR="00901193" w:rsidRPr="00861151">
        <w:rPr>
          <w:rFonts w:eastAsiaTheme="minorEastAsia" w:cs="Times New Roman"/>
          <w:sz w:val="18"/>
          <w:szCs w:val="18"/>
        </w:rPr>
        <w:t xml:space="preserve"> or fall</w:t>
      </w:r>
      <w:r w:rsidRPr="00861151">
        <w:rPr>
          <w:rFonts w:eastAsiaTheme="minorEastAsia" w:cs="Times New Roman"/>
          <w:sz w:val="18"/>
          <w:szCs w:val="18"/>
        </w:rPr>
        <w:t xml:space="preserve">. </w:t>
      </w:r>
      <w:r w:rsidR="009805ED" w:rsidRPr="00861151">
        <w:rPr>
          <w:rFonts w:eastAsiaTheme="minorEastAsia" w:cs="Times New Roman"/>
          <w:sz w:val="18"/>
          <w:szCs w:val="18"/>
        </w:rPr>
        <w:t>The Report in</w:t>
      </w:r>
      <w:r w:rsidR="00E665F3" w:rsidRPr="00861151">
        <w:rPr>
          <w:rFonts w:eastAsiaTheme="minorEastAsia" w:cs="Times New Roman"/>
          <w:sz w:val="18"/>
          <w:szCs w:val="18"/>
        </w:rPr>
        <w:t>cl</w:t>
      </w:r>
      <w:r w:rsidR="00901193" w:rsidRPr="00861151">
        <w:rPr>
          <w:rFonts w:eastAsiaTheme="minorEastAsia" w:cs="Times New Roman"/>
          <w:sz w:val="18"/>
          <w:szCs w:val="18"/>
        </w:rPr>
        <w:t>udes analysis and views of individual research analysts (which</w:t>
      </w:r>
      <w:r w:rsidR="0032522D" w:rsidRPr="00861151">
        <w:rPr>
          <w:rFonts w:eastAsiaTheme="minorEastAsia" w:cs="Times New Roman"/>
          <w:sz w:val="18"/>
          <w:szCs w:val="18"/>
        </w:rPr>
        <w:t>, hereinafter,</w:t>
      </w:r>
      <w:r w:rsidR="00901193" w:rsidRPr="00861151">
        <w:rPr>
          <w:rFonts w:eastAsiaTheme="minorEastAsia" w:cs="Times New Roman"/>
          <w:sz w:val="18"/>
          <w:szCs w:val="18"/>
        </w:rPr>
        <w:t xml:space="preserve"> includes persons reporting to them) </w:t>
      </w:r>
      <w:r w:rsidR="005E7938" w:rsidRPr="00861151">
        <w:rPr>
          <w:rFonts w:eastAsiaTheme="minorEastAsia" w:cs="Times New Roman"/>
          <w:sz w:val="18"/>
          <w:szCs w:val="18"/>
        </w:rPr>
        <w:t>covering this Report</w:t>
      </w:r>
      <w:r w:rsidR="009805ED" w:rsidRPr="00861151">
        <w:rPr>
          <w:rFonts w:eastAsiaTheme="minorEastAsia" w:cs="Times New Roman"/>
          <w:sz w:val="18"/>
          <w:szCs w:val="18"/>
        </w:rPr>
        <w:t>. The Report is purely for information purposes</w:t>
      </w:r>
      <w:r w:rsidR="005E7938" w:rsidRPr="00861151">
        <w:rPr>
          <w:rFonts w:eastAsiaTheme="minorEastAsia" w:cs="Times New Roman"/>
          <w:sz w:val="18"/>
          <w:szCs w:val="18"/>
        </w:rPr>
        <w:t>.</w:t>
      </w:r>
      <w:r w:rsidR="000C1007" w:rsidRPr="00861151">
        <w:rPr>
          <w:rFonts w:eastAsiaTheme="minorEastAsia" w:cs="Times New Roman"/>
          <w:sz w:val="18"/>
          <w:szCs w:val="18"/>
        </w:rPr>
        <w:t xml:space="preserve"> </w:t>
      </w:r>
      <w:r w:rsidR="005E7938" w:rsidRPr="00861151">
        <w:rPr>
          <w:rFonts w:eastAsiaTheme="minorEastAsia" w:cs="Times New Roman"/>
          <w:sz w:val="18"/>
          <w:szCs w:val="18"/>
        </w:rPr>
        <w:t>O</w:t>
      </w:r>
      <w:r w:rsidR="009805ED" w:rsidRPr="00861151">
        <w:rPr>
          <w:rFonts w:eastAsiaTheme="minorEastAsia" w:cs="Times New Roman"/>
          <w:sz w:val="18"/>
          <w:szCs w:val="18"/>
        </w:rPr>
        <w:t>pinion</w:t>
      </w:r>
      <w:r w:rsidR="005E7938" w:rsidRPr="00861151">
        <w:rPr>
          <w:rFonts w:eastAsiaTheme="minorEastAsia" w:cs="Times New Roman"/>
          <w:sz w:val="18"/>
          <w:szCs w:val="18"/>
        </w:rPr>
        <w:t>s expressed in the Report are SKP’s</w:t>
      </w:r>
      <w:r w:rsidR="00384269" w:rsidRPr="00861151">
        <w:rPr>
          <w:rFonts w:eastAsiaTheme="minorEastAsia" w:cs="Times New Roman"/>
          <w:sz w:val="18"/>
          <w:szCs w:val="18"/>
        </w:rPr>
        <w:t xml:space="preserve"> or its </w:t>
      </w:r>
      <w:r w:rsidR="00901193" w:rsidRPr="00861151">
        <w:rPr>
          <w:rFonts w:eastAsiaTheme="minorEastAsia" w:cs="Times New Roman"/>
          <w:sz w:val="18"/>
          <w:szCs w:val="18"/>
        </w:rPr>
        <w:t xml:space="preserve">research </w:t>
      </w:r>
      <w:r w:rsidR="00384269" w:rsidRPr="00861151">
        <w:rPr>
          <w:rFonts w:eastAsiaTheme="minorEastAsia" w:cs="Times New Roman"/>
          <w:sz w:val="18"/>
          <w:szCs w:val="18"/>
        </w:rPr>
        <w:t>analysts’</w:t>
      </w:r>
      <w:r w:rsidR="009805ED" w:rsidRPr="00861151">
        <w:rPr>
          <w:rFonts w:eastAsiaTheme="minorEastAsia" w:cs="Times New Roman"/>
          <w:sz w:val="18"/>
          <w:szCs w:val="18"/>
        </w:rPr>
        <w:t xml:space="preserve"> current opinions as of the date of the Report and may be subject to change from time to time wi</w:t>
      </w:r>
      <w:r w:rsidRPr="00861151">
        <w:rPr>
          <w:rFonts w:eastAsiaTheme="minorEastAsia" w:cs="Times New Roman"/>
          <w:sz w:val="18"/>
          <w:szCs w:val="18"/>
        </w:rPr>
        <w:t>thout notice. SKP or any person connected with it does</w:t>
      </w:r>
      <w:r w:rsidR="009805ED" w:rsidRPr="00861151">
        <w:rPr>
          <w:rFonts w:eastAsiaTheme="minorEastAsia" w:cs="Times New Roman"/>
          <w:sz w:val="18"/>
          <w:szCs w:val="18"/>
        </w:rPr>
        <w:t xml:space="preserve"> not accept any liability arising from the use of this </w:t>
      </w:r>
      <w:r w:rsidR="0031634A">
        <w:rPr>
          <w:rFonts w:eastAsiaTheme="minorEastAsia" w:cs="Times New Roman"/>
          <w:sz w:val="18"/>
          <w:szCs w:val="18"/>
        </w:rPr>
        <w:t>Report</w:t>
      </w:r>
      <w:r w:rsidR="009805ED" w:rsidRPr="00861151">
        <w:rPr>
          <w:rFonts w:eastAsiaTheme="minorEastAsia" w:cs="Times New Roman"/>
          <w:sz w:val="18"/>
          <w:szCs w:val="18"/>
        </w:rPr>
        <w:t>.</w:t>
      </w:r>
      <w:r w:rsidR="000C1007" w:rsidRPr="00861151">
        <w:rPr>
          <w:rFonts w:eastAsiaTheme="minorEastAsia" w:cs="Times New Roman"/>
          <w:sz w:val="18"/>
          <w:szCs w:val="18"/>
        </w:rPr>
        <w:t xml:space="preserve"> </w:t>
      </w:r>
      <w:r w:rsidR="009805ED" w:rsidRPr="00861151">
        <w:rPr>
          <w:rFonts w:eastAsiaTheme="minorEastAsia" w:cs="Times New Roman"/>
          <w:sz w:val="18"/>
          <w:szCs w:val="18"/>
        </w:rPr>
        <w:t>Investors should not solely rely on the information contained in this Report and must make investment decisions based on their own investment objectives, judgment, risk profile and financial position. The recipients of this Report may take professional advice before acting on this information.</w:t>
      </w:r>
      <w:r w:rsidR="000C1007" w:rsidRPr="00861151">
        <w:rPr>
          <w:rFonts w:eastAsiaTheme="minorEastAsia" w:cs="Times New Roman"/>
          <w:sz w:val="18"/>
          <w:szCs w:val="18"/>
        </w:rPr>
        <w:t xml:space="preserve"> </w:t>
      </w:r>
      <w:r w:rsidR="00FE78DF" w:rsidRPr="00861151">
        <w:rPr>
          <w:rFonts w:eastAsiaTheme="minorEastAsia" w:cs="Times New Roman"/>
          <w:sz w:val="18"/>
          <w:szCs w:val="18"/>
        </w:rPr>
        <w:t>SKP’</w:t>
      </w:r>
      <w:r w:rsidR="000C1007" w:rsidRPr="00861151">
        <w:rPr>
          <w:rFonts w:eastAsiaTheme="minorEastAsia" w:cs="Times New Roman"/>
          <w:sz w:val="18"/>
          <w:szCs w:val="18"/>
        </w:rPr>
        <w:t>s Research reports/</w:t>
      </w:r>
      <w:r w:rsidR="00FE78DF" w:rsidRPr="00861151">
        <w:rPr>
          <w:rFonts w:eastAsiaTheme="minorEastAsia" w:cs="Times New Roman"/>
          <w:sz w:val="18"/>
          <w:szCs w:val="18"/>
        </w:rPr>
        <w:t>recommendations may differ on account of differences in research methodology and difference in time horizons for which recommendations are made. Accordingly our sales personnel, professionals or affiliates may provide oral or written market commentary or trading strategies or reports or analysis to our clients that may reflect opinions that are contrary to the opi</w:t>
      </w:r>
      <w:r w:rsidR="000C1007" w:rsidRPr="00861151">
        <w:rPr>
          <w:rFonts w:eastAsiaTheme="minorEastAsia" w:cs="Times New Roman"/>
          <w:sz w:val="18"/>
          <w:szCs w:val="18"/>
        </w:rPr>
        <w:t xml:space="preserve">nions expressed herein, and we, </w:t>
      </w:r>
      <w:r w:rsidR="00FE78DF" w:rsidRPr="00861151">
        <w:rPr>
          <w:rFonts w:eastAsiaTheme="minorEastAsia" w:cs="Times New Roman"/>
          <w:sz w:val="18"/>
          <w:szCs w:val="18"/>
        </w:rPr>
        <w:t>or entities associated with us, may make investment decisions that can be inconsistent with the recommendations expressed herein. In reviewing these materials, you should be aware that any or all of the foregoing, among other things, may give rise to real or potential conflicts of interest.</w:t>
      </w:r>
      <w:r w:rsidR="000C1007" w:rsidRPr="00861151">
        <w:rPr>
          <w:rFonts w:eastAsiaTheme="minorEastAsia" w:cs="Times New Roman"/>
          <w:sz w:val="18"/>
          <w:szCs w:val="18"/>
        </w:rPr>
        <w:t xml:space="preserve"> </w:t>
      </w:r>
      <w:r w:rsidR="00A45D10" w:rsidRPr="00861151">
        <w:rPr>
          <w:rFonts w:eastAsiaTheme="minorEastAsia" w:cs="Times New Roman"/>
          <w:sz w:val="18"/>
          <w:szCs w:val="18"/>
        </w:rPr>
        <w:t>SKP, along</w:t>
      </w:r>
      <w:r w:rsidR="000C1007" w:rsidRPr="00861151">
        <w:rPr>
          <w:rFonts w:eastAsiaTheme="minorEastAsia" w:cs="Times New Roman"/>
          <w:sz w:val="18"/>
          <w:szCs w:val="18"/>
        </w:rPr>
        <w:t xml:space="preserve"> </w:t>
      </w:r>
      <w:r w:rsidR="00A45D10" w:rsidRPr="00861151">
        <w:rPr>
          <w:rFonts w:eastAsiaTheme="minorEastAsia" w:cs="Times New Roman"/>
          <w:sz w:val="18"/>
          <w:szCs w:val="18"/>
        </w:rPr>
        <w:t>with its affiliates, are engaged in vari</w:t>
      </w:r>
      <w:r w:rsidR="0032522D" w:rsidRPr="00861151">
        <w:rPr>
          <w:rFonts w:eastAsiaTheme="minorEastAsia" w:cs="Times New Roman"/>
          <w:sz w:val="18"/>
          <w:szCs w:val="18"/>
        </w:rPr>
        <w:t xml:space="preserve">ous financial services </w:t>
      </w:r>
      <w:r w:rsidR="00A45D10" w:rsidRPr="00861151">
        <w:rPr>
          <w:rFonts w:eastAsiaTheme="minorEastAsia" w:cs="Times New Roman"/>
          <w:sz w:val="18"/>
          <w:szCs w:val="18"/>
        </w:rPr>
        <w:t>and so might have financial, businesses or other interest in other entities, including the subject company or its affiliates mentioned in this report</w:t>
      </w:r>
      <w:r w:rsidR="0032522D" w:rsidRPr="00861151">
        <w:rPr>
          <w:rFonts w:eastAsiaTheme="minorEastAsia" w:cs="Times New Roman"/>
          <w:sz w:val="18"/>
          <w:szCs w:val="18"/>
        </w:rPr>
        <w:t>, for which it might have received any compensation in the past twelve months</w:t>
      </w:r>
      <w:r w:rsidR="00A45D10" w:rsidRPr="00861151">
        <w:rPr>
          <w:rFonts w:eastAsiaTheme="minorEastAsia" w:cs="Times New Roman"/>
          <w:sz w:val="18"/>
          <w:szCs w:val="18"/>
        </w:rPr>
        <w:t>.</w:t>
      </w:r>
      <w:r w:rsidR="000C1007" w:rsidRPr="00861151">
        <w:rPr>
          <w:rFonts w:eastAsiaTheme="minorEastAsia" w:cs="Times New Roman"/>
          <w:sz w:val="18"/>
          <w:szCs w:val="18"/>
        </w:rPr>
        <w:t xml:space="preserve"> </w:t>
      </w:r>
      <w:r w:rsidR="00562A82" w:rsidRPr="00861151">
        <w:rPr>
          <w:rFonts w:eastAsiaTheme="minorEastAsia" w:cs="Times New Roman"/>
          <w:sz w:val="18"/>
          <w:szCs w:val="18"/>
        </w:rPr>
        <w:t>SKP</w:t>
      </w:r>
      <w:r w:rsidR="000C1007" w:rsidRPr="00861151">
        <w:rPr>
          <w:rFonts w:eastAsiaTheme="minorEastAsia" w:cs="Times New Roman"/>
          <w:sz w:val="18"/>
          <w:szCs w:val="18"/>
        </w:rPr>
        <w:t>,</w:t>
      </w:r>
      <w:r w:rsidR="00562A82" w:rsidRPr="00861151">
        <w:rPr>
          <w:rFonts w:eastAsiaTheme="minorEastAsia" w:cs="Times New Roman"/>
          <w:sz w:val="18"/>
          <w:szCs w:val="18"/>
        </w:rPr>
        <w:t xml:space="preserve"> along</w:t>
      </w:r>
      <w:r w:rsidR="000C1007" w:rsidRPr="00861151">
        <w:rPr>
          <w:rFonts w:eastAsiaTheme="minorEastAsia" w:cs="Times New Roman"/>
          <w:sz w:val="18"/>
          <w:szCs w:val="18"/>
        </w:rPr>
        <w:t xml:space="preserve"> </w:t>
      </w:r>
      <w:r w:rsidR="00562A82" w:rsidRPr="00861151">
        <w:rPr>
          <w:rFonts w:eastAsiaTheme="minorEastAsia" w:cs="Times New Roman"/>
          <w:sz w:val="18"/>
          <w:szCs w:val="18"/>
        </w:rPr>
        <w:t>with its affiliates have not received any compensation for investment</w:t>
      </w:r>
      <w:r w:rsidR="00EB4FE9" w:rsidRPr="00861151">
        <w:rPr>
          <w:rFonts w:eastAsiaTheme="minorEastAsia" w:cs="Times New Roman"/>
          <w:sz w:val="18"/>
          <w:szCs w:val="18"/>
        </w:rPr>
        <w:t xml:space="preserve"> banking and </w:t>
      </w:r>
      <w:r w:rsidR="00562A82" w:rsidRPr="00861151">
        <w:rPr>
          <w:rFonts w:eastAsiaTheme="minorEastAsia" w:cs="Times New Roman"/>
          <w:sz w:val="18"/>
          <w:szCs w:val="18"/>
        </w:rPr>
        <w:t>merchant banking services,</w:t>
      </w:r>
      <w:r w:rsidR="000C1007" w:rsidRPr="00861151">
        <w:rPr>
          <w:rFonts w:eastAsiaTheme="minorEastAsia" w:cs="Times New Roman"/>
          <w:sz w:val="18"/>
          <w:szCs w:val="18"/>
        </w:rPr>
        <w:t xml:space="preserve"> </w:t>
      </w:r>
      <w:r w:rsidR="00562A82" w:rsidRPr="00861151">
        <w:rPr>
          <w:rFonts w:eastAsiaTheme="minorEastAsia" w:cs="Times New Roman"/>
          <w:sz w:val="18"/>
          <w:szCs w:val="18"/>
        </w:rPr>
        <w:t>have not managed or co-managed public offering of securities</w:t>
      </w:r>
      <w:r w:rsidR="00FE78DF" w:rsidRPr="00861151">
        <w:rPr>
          <w:rFonts w:eastAsiaTheme="minorEastAsia" w:cs="Times New Roman"/>
          <w:sz w:val="18"/>
          <w:szCs w:val="18"/>
        </w:rPr>
        <w:t xml:space="preserve"> and</w:t>
      </w:r>
      <w:r w:rsidR="00562A82" w:rsidRPr="00861151">
        <w:rPr>
          <w:rFonts w:eastAsiaTheme="minorEastAsia" w:cs="Times New Roman"/>
          <w:sz w:val="18"/>
          <w:szCs w:val="18"/>
        </w:rPr>
        <w:t xml:space="preserve"> have not been engaged </w:t>
      </w:r>
      <w:bookmarkStart w:id="0" w:name="_GoBack"/>
      <w:bookmarkEnd w:id="0"/>
      <w:r w:rsidR="00562A82" w:rsidRPr="00861151">
        <w:rPr>
          <w:rFonts w:eastAsiaTheme="minorEastAsia" w:cs="Times New Roman"/>
          <w:sz w:val="18"/>
          <w:szCs w:val="18"/>
        </w:rPr>
        <w:t>in market making activity of the subject company in the past twelve months preceding the date of distribution of the research report.</w:t>
      </w:r>
      <w:r w:rsidR="000C1007" w:rsidRPr="00861151">
        <w:rPr>
          <w:rFonts w:eastAsiaTheme="minorEastAsia" w:cs="Times New Roman"/>
          <w:sz w:val="18"/>
          <w:szCs w:val="18"/>
        </w:rPr>
        <w:t xml:space="preserve"> </w:t>
      </w:r>
      <w:r w:rsidR="00A45D10" w:rsidRPr="00861151">
        <w:rPr>
          <w:rFonts w:eastAsiaTheme="minorEastAsia" w:cs="Times New Roman"/>
          <w:sz w:val="18"/>
          <w:szCs w:val="18"/>
        </w:rPr>
        <w:t>SKP encourages independence in</w:t>
      </w:r>
      <w:r w:rsidR="007F15C3" w:rsidRPr="00861151">
        <w:rPr>
          <w:rFonts w:eastAsiaTheme="minorEastAsia" w:cs="Times New Roman"/>
          <w:sz w:val="18"/>
          <w:szCs w:val="18"/>
        </w:rPr>
        <w:t xml:space="preserve"> preparation of research reports and strives to minimize conflict in preparation of research reports.</w:t>
      </w:r>
      <w:r w:rsidR="000C1007" w:rsidRPr="00861151">
        <w:rPr>
          <w:rFonts w:eastAsiaTheme="minorEastAsia" w:cs="Times New Roman"/>
          <w:sz w:val="18"/>
          <w:szCs w:val="18"/>
        </w:rPr>
        <w:t xml:space="preserve"> </w:t>
      </w:r>
      <w:r w:rsidR="007F15C3" w:rsidRPr="00861151">
        <w:rPr>
          <w:rFonts w:eastAsiaTheme="minorEastAsia" w:cs="Times New Roman"/>
          <w:sz w:val="18"/>
          <w:szCs w:val="18"/>
        </w:rPr>
        <w:t>SKP and its analysts did not</w:t>
      </w:r>
      <w:r w:rsidR="0031634A">
        <w:rPr>
          <w:rFonts w:eastAsiaTheme="minorEastAsia" w:cs="Times New Roman"/>
          <w:sz w:val="18"/>
          <w:szCs w:val="18"/>
        </w:rPr>
        <w:t xml:space="preserve"> </w:t>
      </w:r>
      <w:r w:rsidR="007F15C3" w:rsidRPr="00861151">
        <w:rPr>
          <w:rFonts w:eastAsiaTheme="minorEastAsia" w:cs="Times New Roman"/>
          <w:sz w:val="18"/>
          <w:szCs w:val="18"/>
        </w:rPr>
        <w:t>receive any compensation or other benefits from the subject company mentioned in the Report or from a third party in connection with preparation of the Report. Accordingly, SKP and its Research Analyst do not have any material conflict of interest at the time of publication of this Report.</w:t>
      </w:r>
      <w:r w:rsidR="000C1007" w:rsidRPr="00861151">
        <w:rPr>
          <w:rFonts w:eastAsiaTheme="minorEastAsia" w:cs="Times New Roman"/>
          <w:sz w:val="18"/>
          <w:szCs w:val="18"/>
        </w:rPr>
        <w:t xml:space="preserve"> </w:t>
      </w:r>
      <w:r w:rsidR="00901193" w:rsidRPr="00861151">
        <w:rPr>
          <w:rFonts w:eastAsiaTheme="minorEastAsia" w:cs="Times New Roman"/>
          <w:sz w:val="18"/>
          <w:szCs w:val="18"/>
        </w:rPr>
        <w:t>SKP’s research ana</w:t>
      </w:r>
      <w:r w:rsidR="007F15C3" w:rsidRPr="00861151">
        <w:rPr>
          <w:rFonts w:eastAsiaTheme="minorEastAsia" w:cs="Times New Roman"/>
          <w:sz w:val="18"/>
          <w:szCs w:val="18"/>
        </w:rPr>
        <w:t>lysts may provide input into its</w:t>
      </w:r>
      <w:r w:rsidR="00901193" w:rsidRPr="00861151">
        <w:rPr>
          <w:rFonts w:eastAsiaTheme="minorEastAsia" w:cs="Times New Roman"/>
          <w:sz w:val="18"/>
          <w:szCs w:val="18"/>
        </w:rPr>
        <w:t xml:space="preserve"> other business activities. Investors should assume that SKP and/or its affiliates are seeking or will seek business assignments from the company(ies) that are the subject of this material and that the research analysts who are involved in preparing this material may educate investors on investments in such businesses. The research analysts responsible for the preparation of this document may interact with trading desk/sales personnel and other parties for the purpose of gathering, applying and interpreting information. Our research analysts are paid on the profitability of SKP, which may include earnings from business activities for which this Report is being used</w:t>
      </w:r>
      <w:r w:rsidR="00484683" w:rsidRPr="00861151">
        <w:rPr>
          <w:rFonts w:eastAsiaTheme="minorEastAsia" w:cs="Times New Roman"/>
          <w:sz w:val="18"/>
          <w:szCs w:val="18"/>
        </w:rPr>
        <w:t>, but not for the preparation of this report.</w:t>
      </w:r>
      <w:r w:rsidR="000C1007" w:rsidRPr="00861151">
        <w:rPr>
          <w:rFonts w:eastAsiaTheme="minorEastAsia" w:cs="Times New Roman"/>
          <w:sz w:val="18"/>
          <w:szCs w:val="18"/>
        </w:rPr>
        <w:t xml:space="preserve"> </w:t>
      </w:r>
      <w:r w:rsidR="00901193" w:rsidRPr="00861151">
        <w:rPr>
          <w:rFonts w:eastAsiaTheme="minorEastAsia" w:cs="Times New Roman"/>
          <w:sz w:val="18"/>
          <w:szCs w:val="18"/>
        </w:rPr>
        <w:t>SKP generally prohibits its analysts, persons</w:t>
      </w:r>
      <w:r w:rsidR="00800D92" w:rsidRPr="00861151">
        <w:rPr>
          <w:rFonts w:eastAsiaTheme="minorEastAsia" w:cs="Times New Roman"/>
          <w:sz w:val="18"/>
          <w:szCs w:val="18"/>
        </w:rPr>
        <w:t xml:space="preserve"> reporting to analysts and their</w:t>
      </w:r>
      <w:r w:rsidR="00901193" w:rsidRPr="00861151">
        <w:rPr>
          <w:rFonts w:eastAsiaTheme="minorEastAsia" w:cs="Times New Roman"/>
          <w:sz w:val="18"/>
          <w:szCs w:val="18"/>
        </w:rPr>
        <w:t xml:space="preserve"> relatives from maintaining a financial interest in the securities or derivatives of any company(ies) that the analyst cover</w:t>
      </w:r>
      <w:r w:rsidR="0032522D" w:rsidRPr="00861151">
        <w:rPr>
          <w:rFonts w:eastAsiaTheme="minorEastAsia" w:cs="Times New Roman"/>
          <w:sz w:val="18"/>
          <w:szCs w:val="18"/>
        </w:rPr>
        <w:t>s</w:t>
      </w:r>
      <w:r w:rsidR="00901193" w:rsidRPr="00861151">
        <w:rPr>
          <w:rFonts w:eastAsiaTheme="minorEastAsia" w:cs="Times New Roman"/>
          <w:sz w:val="18"/>
          <w:szCs w:val="18"/>
        </w:rPr>
        <w:t>. Ad</w:t>
      </w:r>
      <w:r w:rsidR="00C607BA" w:rsidRPr="00861151">
        <w:rPr>
          <w:rFonts w:eastAsiaTheme="minorEastAsia" w:cs="Times New Roman"/>
          <w:sz w:val="18"/>
          <w:szCs w:val="18"/>
        </w:rPr>
        <w:t>d</w:t>
      </w:r>
      <w:r w:rsidR="00901193" w:rsidRPr="00861151">
        <w:rPr>
          <w:rFonts w:eastAsiaTheme="minorEastAsia" w:cs="Times New Roman"/>
          <w:sz w:val="18"/>
          <w:szCs w:val="18"/>
        </w:rPr>
        <w:t>itionally, SKP generally, prohibits its analysts and persons reporting to analysts from serving as an officer, director or advisory board member of any companies that the analyst cover.</w:t>
      </w:r>
      <w:r w:rsidR="0032522D" w:rsidRPr="00861151">
        <w:rPr>
          <w:rFonts w:eastAsiaTheme="minorEastAsia" w:cs="Times New Roman"/>
          <w:sz w:val="18"/>
          <w:szCs w:val="18"/>
        </w:rPr>
        <w:t xml:space="preserve"> The following Disclosure of Interest Statement, clarifies it further:</w:t>
      </w:r>
      <w:r w:rsidR="000C1007" w:rsidRPr="00861151">
        <w:rPr>
          <w:rFonts w:eastAsiaTheme="minorEastAsia" w:cs="Times New Roman"/>
          <w:sz w:val="18"/>
          <w:szCs w:val="18"/>
        </w:rPr>
        <w:t xml:space="preserve"> </w:t>
      </w:r>
      <w:r w:rsidR="00800D92" w:rsidRPr="00861151">
        <w:rPr>
          <w:rFonts w:eastAsiaTheme="minorEastAsia" w:cs="Times New Roman"/>
          <w:sz w:val="18"/>
          <w:szCs w:val="18"/>
        </w:rPr>
        <w:t xml:space="preserve">SKP </w:t>
      </w:r>
      <w:r w:rsidR="0029440C">
        <w:rPr>
          <w:rFonts w:eastAsiaTheme="minorEastAsia" w:cs="Times New Roman"/>
          <w:sz w:val="18"/>
          <w:szCs w:val="18"/>
        </w:rPr>
        <w:t>and/</w:t>
      </w:r>
      <w:r w:rsidR="00800D92" w:rsidRPr="00861151">
        <w:rPr>
          <w:rFonts w:eastAsiaTheme="minorEastAsia" w:cs="Times New Roman"/>
          <w:sz w:val="18"/>
          <w:szCs w:val="18"/>
        </w:rPr>
        <w:t xml:space="preserve">or its </w:t>
      </w:r>
      <w:r w:rsidR="0029440C">
        <w:rPr>
          <w:rFonts w:eastAsiaTheme="minorEastAsia" w:cs="Times New Roman"/>
          <w:sz w:val="18"/>
          <w:szCs w:val="18"/>
        </w:rPr>
        <w:t xml:space="preserve">Directors/or its affiliates or </w:t>
      </w:r>
      <w:r w:rsidR="0029440C">
        <w:rPr>
          <w:rFonts w:eastAsiaTheme="minorEastAsia" w:cs="Times New Roman"/>
          <w:sz w:val="18"/>
          <w:szCs w:val="18"/>
        </w:rPr>
        <w:lastRenderedPageBreak/>
        <w:t xml:space="preserve">its </w:t>
      </w:r>
      <w:r w:rsidR="00800D92" w:rsidRPr="00861151">
        <w:rPr>
          <w:rFonts w:eastAsiaTheme="minorEastAsia" w:cs="Times New Roman"/>
          <w:sz w:val="18"/>
          <w:szCs w:val="18"/>
        </w:rPr>
        <w:t>Research Analyst(s)</w:t>
      </w:r>
      <w:r w:rsidR="0029440C">
        <w:rPr>
          <w:rFonts w:eastAsiaTheme="minorEastAsia" w:cs="Times New Roman"/>
          <w:sz w:val="18"/>
          <w:szCs w:val="18"/>
        </w:rPr>
        <w:t xml:space="preserve"> </w:t>
      </w:r>
      <w:r w:rsidR="00800D92" w:rsidRPr="00861151">
        <w:rPr>
          <w:rFonts w:eastAsiaTheme="minorEastAsia" w:cs="Times New Roman"/>
          <w:sz w:val="18"/>
          <w:szCs w:val="18"/>
        </w:rPr>
        <w:t>engaged in preparation of this Report or his/her relative (i) do not have any financial interests in the subject company mentioned in this report (ii) do not own 1% or more of the equity securities of the subject company mentioned in the report as of the last day of the month preceding the publication of the research report (iii) do not have any other material conflict of interest at the time of publication of the research report.</w:t>
      </w:r>
      <w:r w:rsidR="000C1007" w:rsidRPr="00861151">
        <w:rPr>
          <w:rFonts w:eastAsiaTheme="minorEastAsia" w:cs="Times New Roman"/>
          <w:sz w:val="18"/>
          <w:szCs w:val="18"/>
        </w:rPr>
        <w:t xml:space="preserve"> </w:t>
      </w:r>
      <w:r w:rsidR="00BC74EE" w:rsidRPr="00861151">
        <w:rPr>
          <w:rFonts w:eastAsiaTheme="minorEastAsia" w:cs="Times New Roman"/>
          <w:sz w:val="18"/>
          <w:szCs w:val="18"/>
        </w:rPr>
        <w:t>The distribution of this document in other jurisdictions may be strictly restricted and/ or prohibited by law, and persons into whose possession this document comes should inform themselves about such restriction and/ or prohibition, and observe any such restrictions and/ or prohibition</w:t>
      </w:r>
      <w:r w:rsidR="000C1007" w:rsidRPr="00861151">
        <w:rPr>
          <w:rFonts w:eastAsiaTheme="minorEastAsia" w:cs="Times New Roman"/>
          <w:sz w:val="18"/>
          <w:szCs w:val="18"/>
        </w:rPr>
        <w:t>.</w:t>
      </w:r>
    </w:p>
    <w:p w:rsidR="00BC74EE" w:rsidRPr="00861151" w:rsidRDefault="00BC74EE" w:rsidP="00861151">
      <w:pPr>
        <w:tabs>
          <w:tab w:val="left" w:pos="720"/>
        </w:tabs>
        <w:autoSpaceDE w:val="0"/>
        <w:autoSpaceDN w:val="0"/>
        <w:adjustRightInd w:val="0"/>
        <w:spacing w:after="0" w:line="240" w:lineRule="auto"/>
        <w:jc w:val="both"/>
        <w:rPr>
          <w:rFonts w:eastAsiaTheme="minorEastAsia" w:cs="Times New Roman"/>
          <w:sz w:val="18"/>
          <w:szCs w:val="18"/>
        </w:rPr>
      </w:pPr>
    </w:p>
    <w:p w:rsidR="00FE7D12" w:rsidRPr="00861151" w:rsidRDefault="00FE7D12" w:rsidP="00861151">
      <w:pPr>
        <w:tabs>
          <w:tab w:val="left" w:pos="720"/>
        </w:tabs>
        <w:autoSpaceDE w:val="0"/>
        <w:autoSpaceDN w:val="0"/>
        <w:adjustRightInd w:val="0"/>
        <w:spacing w:after="0" w:line="240" w:lineRule="auto"/>
        <w:jc w:val="both"/>
        <w:rPr>
          <w:rFonts w:eastAsiaTheme="minorEastAsia" w:cs="Times New Roman"/>
          <w:sz w:val="18"/>
          <w:szCs w:val="18"/>
        </w:rPr>
      </w:pPr>
      <w:r w:rsidRPr="00861151">
        <w:rPr>
          <w:rFonts w:eastAsiaTheme="minorEastAsia" w:cs="Times New Roman"/>
          <w:sz w:val="18"/>
          <w:szCs w:val="18"/>
        </w:rPr>
        <w:t>SKP Securities Limited is registered as a Research Analyst under SEBI (Research Analyst) Regulations, 2014</w:t>
      </w:r>
      <w:r w:rsidR="00840CE8" w:rsidRPr="00861151">
        <w:rPr>
          <w:rFonts w:eastAsiaTheme="minorEastAsia" w:cs="Times New Roman"/>
          <w:sz w:val="18"/>
          <w:szCs w:val="18"/>
        </w:rPr>
        <w:t xml:space="preserve"> having </w:t>
      </w:r>
      <w:r w:rsidR="00992622" w:rsidRPr="00861151">
        <w:rPr>
          <w:rFonts w:eastAsiaTheme="minorEastAsia" w:cs="Times New Roman"/>
          <w:sz w:val="18"/>
          <w:szCs w:val="18"/>
        </w:rPr>
        <w:t>registration no.</w:t>
      </w:r>
      <w:r w:rsidRPr="00861151">
        <w:rPr>
          <w:rFonts w:eastAsiaTheme="minorEastAsia" w:cs="Times New Roman"/>
          <w:sz w:val="18"/>
          <w:szCs w:val="18"/>
        </w:rPr>
        <w:t xml:space="preserve"> INH300002902</w:t>
      </w:r>
      <w:r w:rsidR="00861151">
        <w:rPr>
          <w:rFonts w:eastAsiaTheme="minorEastAsia" w:cs="Times New Roman"/>
          <w:sz w:val="18"/>
          <w:szCs w:val="18"/>
        </w:rPr>
        <w:t>.</w:t>
      </w:r>
    </w:p>
    <w:p w:rsidR="00FE7D12" w:rsidRPr="000C1007" w:rsidRDefault="00FE7D12" w:rsidP="00AA3DA7">
      <w:pPr>
        <w:autoSpaceDE w:val="0"/>
        <w:autoSpaceDN w:val="0"/>
        <w:adjustRightInd w:val="0"/>
        <w:spacing w:after="0" w:line="240" w:lineRule="auto"/>
        <w:jc w:val="both"/>
        <w:rPr>
          <w:rFonts w:ascii="Times New Roman" w:eastAsiaTheme="minorEastAsia" w:hAnsi="Times New Roman" w:cs="Times New Roman"/>
          <w:b/>
        </w:rPr>
      </w:pPr>
    </w:p>
    <w:p w:rsidR="00AA3DA7" w:rsidRPr="00861151" w:rsidRDefault="00AA3DA7" w:rsidP="00861151">
      <w:pPr>
        <w:spacing w:after="0"/>
        <w:rPr>
          <w:rFonts w:eastAsiaTheme="minorEastAsia" w:cs="Times New Roman"/>
          <w:b/>
          <w:sz w:val="18"/>
          <w:szCs w:val="18"/>
        </w:rPr>
      </w:pPr>
      <w:r w:rsidRPr="00861151">
        <w:rPr>
          <w:rFonts w:eastAsiaTheme="minorEastAsia" w:cs="Times New Roman"/>
          <w:b/>
          <w:sz w:val="18"/>
          <w:szCs w:val="18"/>
        </w:rPr>
        <w:t xml:space="preserve">Analyst Certification </w:t>
      </w:r>
    </w:p>
    <w:p w:rsidR="009122FF" w:rsidRPr="00861151" w:rsidRDefault="00076C18" w:rsidP="00861151">
      <w:pPr>
        <w:tabs>
          <w:tab w:val="left" w:pos="720"/>
        </w:tabs>
        <w:autoSpaceDE w:val="0"/>
        <w:autoSpaceDN w:val="0"/>
        <w:adjustRightInd w:val="0"/>
        <w:spacing w:after="0" w:line="240" w:lineRule="auto"/>
        <w:jc w:val="both"/>
        <w:rPr>
          <w:rFonts w:eastAsiaTheme="minorEastAsia" w:cs="Times New Roman"/>
          <w:sz w:val="18"/>
          <w:szCs w:val="18"/>
        </w:rPr>
      </w:pPr>
      <w:r w:rsidRPr="00861151">
        <w:rPr>
          <w:rFonts w:eastAsiaTheme="minorEastAsia" w:cs="Times New Roman"/>
          <w:sz w:val="18"/>
          <w:szCs w:val="18"/>
        </w:rPr>
        <w:t xml:space="preserve">The views expressed in this research report accurately reflect the personal views of the analyst about the subject securities or issues, </w:t>
      </w:r>
      <w:r w:rsidR="0032522D" w:rsidRPr="00861151">
        <w:rPr>
          <w:rFonts w:eastAsiaTheme="minorEastAsia" w:cs="Times New Roman"/>
          <w:sz w:val="18"/>
          <w:szCs w:val="18"/>
        </w:rPr>
        <w:t>which are subject to change without prior notice and does not represent to be an authority on the subject. N</w:t>
      </w:r>
      <w:r w:rsidRPr="00861151">
        <w:rPr>
          <w:rFonts w:eastAsiaTheme="minorEastAsia" w:cs="Times New Roman"/>
          <w:sz w:val="18"/>
          <w:szCs w:val="18"/>
        </w:rPr>
        <w:t>o part of the compensation of the research analyst was, is, or will be directly or indirectly related to the specific recommendations and views expressed by research analyst in this report. The research analysts, strategists, or research associates principally res</w:t>
      </w:r>
      <w:r w:rsidR="00ED3E68" w:rsidRPr="00861151">
        <w:rPr>
          <w:rFonts w:eastAsiaTheme="minorEastAsia" w:cs="Times New Roman"/>
          <w:sz w:val="18"/>
          <w:szCs w:val="18"/>
        </w:rPr>
        <w:t>ponsible for preparation of SKP</w:t>
      </w:r>
      <w:r w:rsidRPr="00861151">
        <w:rPr>
          <w:rFonts w:eastAsiaTheme="minorEastAsia" w:cs="Times New Roman"/>
          <w:sz w:val="18"/>
          <w:szCs w:val="18"/>
        </w:rPr>
        <w:t xml:space="preserve"> research receive compensation based upon various factors, including quality of research, investor client feedback, stock picking, competitive factors and firm revenues</w:t>
      </w:r>
      <w:r w:rsidR="00E665F3" w:rsidRPr="00861151">
        <w:rPr>
          <w:rFonts w:eastAsiaTheme="minorEastAsia" w:cs="Times New Roman"/>
          <w:sz w:val="18"/>
          <w:szCs w:val="18"/>
        </w:rPr>
        <w:t>.</w:t>
      </w:r>
      <w:r w:rsidR="000A487F" w:rsidRPr="00861151">
        <w:rPr>
          <w:rFonts w:eastAsiaTheme="minorEastAsia" w:cs="Times New Roman"/>
          <w:sz w:val="18"/>
          <w:szCs w:val="18"/>
        </w:rPr>
        <w:tab/>
      </w:r>
    </w:p>
    <w:p w:rsidR="00076C18" w:rsidRPr="000C1007" w:rsidRDefault="00076C18" w:rsidP="009122FF">
      <w:pPr>
        <w:autoSpaceDE w:val="0"/>
        <w:autoSpaceDN w:val="0"/>
        <w:adjustRightInd w:val="0"/>
        <w:spacing w:after="0" w:line="240" w:lineRule="auto"/>
        <w:jc w:val="both"/>
        <w:rPr>
          <w:rFonts w:ascii="Times New Roman" w:eastAsiaTheme="minorEastAsia" w:hAnsi="Times New Roman" w:cs="Times New Roman"/>
        </w:rPr>
      </w:pPr>
    </w:p>
    <w:p w:rsidR="006C187E" w:rsidRPr="00861151" w:rsidRDefault="006C187E" w:rsidP="00861151">
      <w:pPr>
        <w:spacing w:after="0"/>
        <w:rPr>
          <w:rFonts w:eastAsiaTheme="minorEastAsia" w:cs="Times New Roman"/>
          <w:b/>
          <w:sz w:val="18"/>
          <w:szCs w:val="18"/>
        </w:rPr>
      </w:pPr>
      <w:r w:rsidRPr="00861151">
        <w:rPr>
          <w:rFonts w:eastAsiaTheme="minorEastAsia" w:cs="Times New Roman"/>
          <w:b/>
          <w:sz w:val="18"/>
          <w:szCs w:val="18"/>
        </w:rPr>
        <w:t>Disclosure of Interest Statement</w:t>
      </w:r>
    </w:p>
    <w:p w:rsidR="006C187E" w:rsidRPr="000C1007" w:rsidRDefault="006C187E" w:rsidP="009122FF">
      <w:pPr>
        <w:autoSpaceDE w:val="0"/>
        <w:autoSpaceDN w:val="0"/>
        <w:adjustRightInd w:val="0"/>
        <w:spacing w:after="0" w:line="240" w:lineRule="auto"/>
        <w:jc w:val="both"/>
        <w:rPr>
          <w:rFonts w:ascii="Times New Roman" w:eastAsiaTheme="minorEastAsia" w:hAnsi="Times New Roman" w:cs="Times New Roman"/>
        </w:rPr>
      </w:pPr>
    </w:p>
    <w:tbl>
      <w:tblPr>
        <w:tblStyle w:val="TableGrid"/>
        <w:tblW w:w="0" w:type="auto"/>
        <w:tblLook w:val="04A0"/>
      </w:tblPr>
      <w:tblGrid>
        <w:gridCol w:w="4788"/>
        <w:gridCol w:w="4788"/>
      </w:tblGrid>
      <w:tr w:rsidR="00484683" w:rsidRPr="000C1007" w:rsidTr="00484683">
        <w:tc>
          <w:tcPr>
            <w:tcW w:w="4788" w:type="dxa"/>
          </w:tcPr>
          <w:p w:rsidR="00484683" w:rsidRPr="00861151" w:rsidRDefault="004A2B27" w:rsidP="00861151">
            <w:pPr>
              <w:pStyle w:val="Default"/>
              <w:ind w:left="34" w:right="144"/>
              <w:rPr>
                <w:rFonts w:ascii="Calibri" w:eastAsia="Times New Roman" w:hAnsi="Calibri" w:cs="Times New Roman"/>
                <w:color w:val="auto"/>
                <w:sz w:val="16"/>
                <w:szCs w:val="16"/>
              </w:rPr>
            </w:pPr>
            <w:r w:rsidRPr="00861151">
              <w:rPr>
                <w:rFonts w:ascii="Calibri" w:eastAsia="Times New Roman" w:hAnsi="Calibri" w:cs="Times New Roman"/>
                <w:color w:val="auto"/>
                <w:sz w:val="16"/>
                <w:szCs w:val="16"/>
              </w:rPr>
              <w:t xml:space="preserve">Analyst ownership of the stock </w:t>
            </w:r>
          </w:p>
        </w:tc>
        <w:tc>
          <w:tcPr>
            <w:tcW w:w="4788" w:type="dxa"/>
          </w:tcPr>
          <w:p w:rsidR="00484683" w:rsidRPr="00861151" w:rsidRDefault="000C1007" w:rsidP="00861151">
            <w:pPr>
              <w:pStyle w:val="Default"/>
              <w:ind w:left="34" w:right="144"/>
              <w:jc w:val="center"/>
              <w:rPr>
                <w:rFonts w:ascii="Calibri" w:eastAsia="Times New Roman" w:hAnsi="Calibri" w:cs="Times New Roman"/>
                <w:color w:val="auto"/>
                <w:sz w:val="16"/>
                <w:szCs w:val="16"/>
              </w:rPr>
            </w:pPr>
            <w:r w:rsidRPr="00861151">
              <w:rPr>
                <w:rFonts w:ascii="Calibri" w:eastAsia="Times New Roman" w:hAnsi="Calibri" w:cs="Times New Roman"/>
                <w:color w:val="auto"/>
                <w:sz w:val="16"/>
                <w:szCs w:val="16"/>
              </w:rPr>
              <w:t>NIL</w:t>
            </w:r>
          </w:p>
        </w:tc>
      </w:tr>
      <w:tr w:rsidR="00484683" w:rsidRPr="000C1007" w:rsidTr="00484683">
        <w:tc>
          <w:tcPr>
            <w:tcW w:w="4788" w:type="dxa"/>
          </w:tcPr>
          <w:p w:rsidR="00484683" w:rsidRPr="00861151" w:rsidRDefault="004A2B27" w:rsidP="00861151">
            <w:pPr>
              <w:pStyle w:val="Default"/>
              <w:ind w:left="34" w:right="144"/>
              <w:rPr>
                <w:rFonts w:ascii="Calibri" w:eastAsia="Times New Roman" w:hAnsi="Calibri" w:cs="Times New Roman"/>
                <w:color w:val="auto"/>
                <w:sz w:val="16"/>
                <w:szCs w:val="16"/>
              </w:rPr>
            </w:pPr>
            <w:r w:rsidRPr="00861151">
              <w:rPr>
                <w:rFonts w:ascii="Calibri" w:eastAsia="Times New Roman" w:hAnsi="Calibri" w:cs="Times New Roman"/>
                <w:color w:val="auto"/>
                <w:sz w:val="16"/>
                <w:szCs w:val="16"/>
              </w:rPr>
              <w:t xml:space="preserve">Served as an officer, director or employee  </w:t>
            </w:r>
          </w:p>
        </w:tc>
        <w:tc>
          <w:tcPr>
            <w:tcW w:w="4788" w:type="dxa"/>
          </w:tcPr>
          <w:p w:rsidR="00484683" w:rsidRPr="00861151" w:rsidRDefault="000C1007" w:rsidP="00861151">
            <w:pPr>
              <w:pStyle w:val="Default"/>
              <w:ind w:left="34" w:right="144"/>
              <w:jc w:val="center"/>
              <w:rPr>
                <w:rFonts w:ascii="Calibri" w:eastAsia="Times New Roman" w:hAnsi="Calibri" w:cs="Times New Roman"/>
                <w:color w:val="auto"/>
                <w:sz w:val="16"/>
                <w:szCs w:val="16"/>
              </w:rPr>
            </w:pPr>
            <w:r w:rsidRPr="00861151">
              <w:rPr>
                <w:rFonts w:ascii="Calibri" w:eastAsia="Times New Roman" w:hAnsi="Calibri" w:cs="Times New Roman"/>
                <w:color w:val="auto"/>
                <w:sz w:val="16"/>
                <w:szCs w:val="16"/>
              </w:rPr>
              <w:t>NIL</w:t>
            </w:r>
          </w:p>
        </w:tc>
      </w:tr>
    </w:tbl>
    <w:p w:rsidR="00E83C65" w:rsidRPr="000C1007" w:rsidRDefault="00E83C65" w:rsidP="009122FF">
      <w:pPr>
        <w:autoSpaceDE w:val="0"/>
        <w:autoSpaceDN w:val="0"/>
        <w:adjustRightInd w:val="0"/>
        <w:spacing w:after="0" w:line="240" w:lineRule="auto"/>
        <w:jc w:val="both"/>
        <w:rPr>
          <w:rFonts w:ascii="Times New Roman" w:eastAsiaTheme="minorEastAsia" w:hAnsi="Times New Roman" w:cs="Times New Roman"/>
        </w:rPr>
      </w:pPr>
    </w:p>
    <w:p w:rsidR="0032522D" w:rsidRPr="00861151" w:rsidRDefault="0032522D" w:rsidP="00861151">
      <w:pPr>
        <w:tabs>
          <w:tab w:val="left" w:pos="720"/>
        </w:tabs>
        <w:autoSpaceDE w:val="0"/>
        <w:autoSpaceDN w:val="0"/>
        <w:adjustRightInd w:val="0"/>
        <w:spacing w:after="0" w:line="240" w:lineRule="auto"/>
        <w:jc w:val="both"/>
        <w:rPr>
          <w:rFonts w:eastAsiaTheme="minorEastAsia" w:cs="Times New Roman"/>
          <w:sz w:val="18"/>
          <w:szCs w:val="18"/>
        </w:rPr>
      </w:pPr>
    </w:p>
    <w:p w:rsidR="0004082B" w:rsidRDefault="004B0A5C" w:rsidP="00861151">
      <w:pPr>
        <w:tabs>
          <w:tab w:val="left" w:pos="720"/>
        </w:tabs>
        <w:autoSpaceDE w:val="0"/>
        <w:autoSpaceDN w:val="0"/>
        <w:adjustRightInd w:val="0"/>
        <w:spacing w:after="0" w:line="240" w:lineRule="auto"/>
        <w:jc w:val="both"/>
        <w:rPr>
          <w:rFonts w:eastAsiaTheme="minorEastAsia" w:cs="Times New Roman"/>
          <w:sz w:val="18"/>
          <w:szCs w:val="18"/>
        </w:rPr>
      </w:pPr>
      <w:r w:rsidRPr="00861151">
        <w:rPr>
          <w:rFonts w:eastAsiaTheme="minorEastAsia" w:cs="Times New Roman"/>
          <w:sz w:val="18"/>
          <w:szCs w:val="18"/>
        </w:rPr>
        <w:t xml:space="preserve">SKP Securities Ltd </w:t>
      </w:r>
      <w:r w:rsidR="00061B2F" w:rsidRPr="00861151">
        <w:rPr>
          <w:rFonts w:eastAsiaTheme="minorEastAsia" w:cs="Times New Roman"/>
          <w:sz w:val="18"/>
          <w:szCs w:val="18"/>
        </w:rPr>
        <w:t xml:space="preserve"> CIN : L74140WB1990PLC049032  having its registered office at Chatterjee International Centre, Level- 21, 33A Jawaharlal Nehru Road,  Kolkata- 700071</w:t>
      </w:r>
    </w:p>
    <w:p w:rsidR="00861151" w:rsidRPr="00861151" w:rsidRDefault="00861151" w:rsidP="00861151">
      <w:pPr>
        <w:tabs>
          <w:tab w:val="left" w:pos="720"/>
        </w:tabs>
        <w:autoSpaceDE w:val="0"/>
        <w:autoSpaceDN w:val="0"/>
        <w:adjustRightInd w:val="0"/>
        <w:spacing w:after="0" w:line="240" w:lineRule="auto"/>
        <w:jc w:val="both"/>
        <w:rPr>
          <w:rFonts w:eastAsiaTheme="minorEastAsia" w:cs="Times New Roman"/>
          <w:sz w:val="18"/>
          <w:szCs w:val="18"/>
        </w:rPr>
      </w:pPr>
    </w:p>
    <w:tbl>
      <w:tblPr>
        <w:tblpPr w:leftFromText="180" w:rightFromText="180" w:vertAnchor="text" w:tblpX="-318"/>
        <w:tblW w:w="10635" w:type="dxa"/>
        <w:tblCellMar>
          <w:left w:w="0" w:type="dxa"/>
          <w:right w:w="0" w:type="dxa"/>
        </w:tblCellMar>
        <w:tblLook w:val="04A0"/>
      </w:tblPr>
      <w:tblGrid>
        <w:gridCol w:w="1388"/>
        <w:gridCol w:w="2533"/>
        <w:gridCol w:w="2322"/>
        <w:gridCol w:w="2143"/>
        <w:gridCol w:w="2249"/>
      </w:tblGrid>
      <w:tr w:rsidR="00861151" w:rsidTr="00861151">
        <w:trPr>
          <w:trHeight w:val="356"/>
        </w:trPr>
        <w:tc>
          <w:tcPr>
            <w:tcW w:w="10635" w:type="dxa"/>
            <w:gridSpan w:val="5"/>
            <w:tcBorders>
              <w:top w:val="dotted" w:sz="8" w:space="0" w:color="auto"/>
              <w:left w:val="nil"/>
              <w:bottom w:val="dotted" w:sz="8" w:space="0" w:color="auto"/>
              <w:right w:val="nil"/>
            </w:tcBorders>
            <w:tcMar>
              <w:top w:w="0" w:type="dxa"/>
              <w:left w:w="108" w:type="dxa"/>
              <w:bottom w:w="0" w:type="dxa"/>
              <w:right w:w="108" w:type="dxa"/>
            </w:tcMar>
            <w:hideMark/>
          </w:tcPr>
          <w:p w:rsidR="00861151" w:rsidRDefault="00861151" w:rsidP="00861151">
            <w:pPr>
              <w:pStyle w:val="NormalWeb"/>
              <w:spacing w:beforeAutospacing="0" w:afterAutospacing="0"/>
              <w:ind w:left="284" w:right="144"/>
              <w:jc w:val="center"/>
              <w:rPr>
                <w:rFonts w:ascii="Calibri" w:hAnsi="Calibri"/>
                <w:b/>
                <w:bCs/>
                <w:sz w:val="28"/>
                <w:szCs w:val="28"/>
              </w:rPr>
            </w:pPr>
            <w:r>
              <w:rPr>
                <w:rFonts w:ascii="Calibri" w:hAnsi="Calibri"/>
                <w:b/>
                <w:bCs/>
                <w:sz w:val="28"/>
                <w:szCs w:val="28"/>
              </w:rPr>
              <w:t>SKP Securities Ltd</w:t>
            </w:r>
          </w:p>
        </w:tc>
      </w:tr>
      <w:tr w:rsidR="00861151" w:rsidTr="00861151">
        <w:trPr>
          <w:trHeight w:val="142"/>
        </w:trPr>
        <w:tc>
          <w:tcPr>
            <w:tcW w:w="1388" w:type="dxa"/>
            <w:tcBorders>
              <w:top w:val="nil"/>
              <w:left w:val="dotted" w:sz="8" w:space="0" w:color="auto"/>
              <w:bottom w:val="dotted" w:sz="8" w:space="0" w:color="auto"/>
              <w:right w:val="dotted" w:sz="8" w:space="0" w:color="auto"/>
            </w:tcBorders>
            <w:shd w:val="clear" w:color="auto" w:fill="666699"/>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color w:val="FFFFFF"/>
                <w:sz w:val="20"/>
                <w:szCs w:val="20"/>
              </w:rPr>
            </w:pPr>
            <w:r>
              <w:rPr>
                <w:rFonts w:ascii="Calibri" w:hAnsi="Calibri"/>
                <w:b/>
                <w:bCs/>
                <w:color w:val="FFFFFF"/>
                <w:sz w:val="20"/>
                <w:szCs w:val="20"/>
              </w:rPr>
              <w:t>Contacts</w:t>
            </w:r>
          </w:p>
        </w:tc>
        <w:tc>
          <w:tcPr>
            <w:tcW w:w="4855" w:type="dxa"/>
            <w:gridSpan w:val="2"/>
            <w:tcBorders>
              <w:top w:val="nil"/>
              <w:left w:val="nil"/>
              <w:bottom w:val="dotted" w:sz="8" w:space="0" w:color="auto"/>
              <w:right w:val="dotted" w:sz="8" w:space="0" w:color="auto"/>
            </w:tcBorders>
            <w:shd w:val="clear" w:color="auto" w:fill="666699"/>
            <w:tcMar>
              <w:top w:w="0" w:type="dxa"/>
              <w:left w:w="108" w:type="dxa"/>
              <w:bottom w:w="0" w:type="dxa"/>
              <w:right w:w="108" w:type="dxa"/>
            </w:tcMar>
            <w:hideMark/>
          </w:tcPr>
          <w:p w:rsidR="00861151" w:rsidRDefault="00861151" w:rsidP="00861151">
            <w:pPr>
              <w:pStyle w:val="NormalWeb"/>
              <w:spacing w:beforeAutospacing="0" w:afterAutospacing="0"/>
              <w:ind w:left="284" w:right="144"/>
              <w:jc w:val="center"/>
              <w:rPr>
                <w:rFonts w:ascii="Calibri" w:hAnsi="Calibri"/>
                <w:b/>
                <w:bCs/>
                <w:color w:val="FFFFFF"/>
                <w:sz w:val="20"/>
                <w:szCs w:val="20"/>
              </w:rPr>
            </w:pPr>
            <w:r>
              <w:rPr>
                <w:rFonts w:ascii="Calibri" w:hAnsi="Calibri"/>
                <w:b/>
                <w:bCs/>
                <w:color w:val="FFFFFF"/>
                <w:sz w:val="20"/>
                <w:szCs w:val="20"/>
              </w:rPr>
              <w:t>Research</w:t>
            </w:r>
          </w:p>
        </w:tc>
        <w:tc>
          <w:tcPr>
            <w:tcW w:w="4392" w:type="dxa"/>
            <w:gridSpan w:val="2"/>
            <w:tcBorders>
              <w:top w:val="nil"/>
              <w:left w:val="nil"/>
              <w:bottom w:val="dotted" w:sz="8" w:space="0" w:color="auto"/>
              <w:right w:val="dotted" w:sz="8" w:space="0" w:color="auto"/>
            </w:tcBorders>
            <w:shd w:val="clear" w:color="auto" w:fill="666699"/>
            <w:tcMar>
              <w:top w:w="0" w:type="dxa"/>
              <w:left w:w="108" w:type="dxa"/>
              <w:bottom w:w="0" w:type="dxa"/>
              <w:right w:w="108" w:type="dxa"/>
            </w:tcMar>
            <w:hideMark/>
          </w:tcPr>
          <w:p w:rsidR="00861151" w:rsidRDefault="00861151" w:rsidP="00861151">
            <w:pPr>
              <w:pStyle w:val="NormalWeb"/>
              <w:spacing w:beforeAutospacing="0" w:afterAutospacing="0"/>
              <w:ind w:left="284" w:right="144"/>
              <w:jc w:val="center"/>
              <w:rPr>
                <w:rFonts w:ascii="Calibri" w:hAnsi="Calibri"/>
                <w:b/>
                <w:bCs/>
                <w:color w:val="FFFFFF"/>
                <w:sz w:val="20"/>
                <w:szCs w:val="20"/>
              </w:rPr>
            </w:pPr>
            <w:r>
              <w:rPr>
                <w:rFonts w:ascii="Calibri" w:hAnsi="Calibri"/>
                <w:b/>
                <w:bCs/>
                <w:color w:val="FFFFFF"/>
                <w:sz w:val="20"/>
                <w:szCs w:val="20"/>
              </w:rPr>
              <w:t>Dealing</w:t>
            </w:r>
          </w:p>
        </w:tc>
      </w:tr>
      <w:tr w:rsidR="00861151" w:rsidTr="00861151">
        <w:trPr>
          <w:trHeight w:val="182"/>
        </w:trPr>
        <w:tc>
          <w:tcPr>
            <w:tcW w:w="1388"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861151" w:rsidRDefault="00861151" w:rsidP="00861151">
            <w:pPr>
              <w:pStyle w:val="NormalWeb"/>
              <w:spacing w:beforeAutospacing="0" w:afterAutospacing="0"/>
              <w:ind w:left="284" w:right="144"/>
              <w:rPr>
                <w:rFonts w:ascii="Calibri" w:hAnsi="Calibri"/>
                <w:sz w:val="20"/>
                <w:szCs w:val="20"/>
              </w:rPr>
            </w:pPr>
          </w:p>
        </w:tc>
        <w:tc>
          <w:tcPr>
            <w:tcW w:w="2533"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Mumbai</w:t>
            </w:r>
          </w:p>
        </w:tc>
        <w:tc>
          <w:tcPr>
            <w:tcW w:w="2322"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Kolkata</w:t>
            </w:r>
          </w:p>
        </w:tc>
        <w:tc>
          <w:tcPr>
            <w:tcW w:w="2143"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Mumbai</w:t>
            </w:r>
          </w:p>
        </w:tc>
        <w:tc>
          <w:tcPr>
            <w:tcW w:w="2249"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Kolkata</w:t>
            </w:r>
          </w:p>
        </w:tc>
      </w:tr>
      <w:tr w:rsidR="00861151" w:rsidTr="00861151">
        <w:trPr>
          <w:trHeight w:val="277"/>
        </w:trPr>
        <w:tc>
          <w:tcPr>
            <w:tcW w:w="138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Phone</w:t>
            </w:r>
          </w:p>
        </w:tc>
        <w:tc>
          <w:tcPr>
            <w:tcW w:w="2533"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022 4922 6006</w:t>
            </w:r>
          </w:p>
        </w:tc>
        <w:tc>
          <w:tcPr>
            <w:tcW w:w="2322"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033 4007 7000</w:t>
            </w:r>
          </w:p>
        </w:tc>
        <w:tc>
          <w:tcPr>
            <w:tcW w:w="2143"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022 4922 6000</w:t>
            </w:r>
          </w:p>
        </w:tc>
        <w:tc>
          <w:tcPr>
            <w:tcW w:w="2249"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033 4007 7400</w:t>
            </w:r>
          </w:p>
        </w:tc>
      </w:tr>
      <w:tr w:rsidR="00861151" w:rsidTr="00861151">
        <w:trPr>
          <w:trHeight w:val="244"/>
        </w:trPr>
        <w:tc>
          <w:tcPr>
            <w:tcW w:w="138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Fax</w:t>
            </w:r>
          </w:p>
        </w:tc>
        <w:tc>
          <w:tcPr>
            <w:tcW w:w="2533"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022 4922 6066</w:t>
            </w:r>
          </w:p>
        </w:tc>
        <w:tc>
          <w:tcPr>
            <w:tcW w:w="2322"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033 4007 7007</w:t>
            </w:r>
          </w:p>
        </w:tc>
        <w:tc>
          <w:tcPr>
            <w:tcW w:w="2143"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022 4922 6066</w:t>
            </w:r>
          </w:p>
        </w:tc>
        <w:tc>
          <w:tcPr>
            <w:tcW w:w="2249" w:type="dxa"/>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Autospacing="0" w:afterAutospacing="0"/>
              <w:ind w:left="284" w:right="144"/>
              <w:rPr>
                <w:rFonts w:ascii="Calibri" w:hAnsi="Calibri"/>
                <w:b/>
                <w:bCs/>
                <w:sz w:val="20"/>
                <w:szCs w:val="20"/>
              </w:rPr>
            </w:pPr>
            <w:r>
              <w:rPr>
                <w:rFonts w:ascii="Calibri" w:hAnsi="Calibri"/>
                <w:b/>
                <w:bCs/>
                <w:sz w:val="20"/>
                <w:szCs w:val="20"/>
              </w:rPr>
              <w:t>033 4007 7007</w:t>
            </w:r>
          </w:p>
        </w:tc>
      </w:tr>
      <w:tr w:rsidR="00861151" w:rsidTr="00861151">
        <w:trPr>
          <w:trHeight w:val="98"/>
        </w:trPr>
        <w:tc>
          <w:tcPr>
            <w:tcW w:w="138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861151" w:rsidRDefault="00861151" w:rsidP="00861151">
            <w:pPr>
              <w:pStyle w:val="NormalWeb"/>
              <w:spacing w:before="0" w:beforeAutospacing="0" w:afterAutospacing="0"/>
              <w:ind w:left="284" w:right="144"/>
              <w:rPr>
                <w:rFonts w:ascii="Calibri" w:hAnsi="Calibri"/>
                <w:sz w:val="10"/>
                <w:szCs w:val="10"/>
              </w:rPr>
            </w:pPr>
            <w:r>
              <w:rPr>
                <w:rFonts w:ascii="Calibri" w:hAnsi="Calibri"/>
                <w:b/>
                <w:bCs/>
                <w:sz w:val="20"/>
                <w:szCs w:val="20"/>
              </w:rPr>
              <w:t>E-mail</w:t>
            </w:r>
          </w:p>
        </w:tc>
        <w:tc>
          <w:tcPr>
            <w:tcW w:w="4855" w:type="dxa"/>
            <w:gridSpan w:val="2"/>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DE216B" w:rsidP="00861151">
            <w:pPr>
              <w:pStyle w:val="NormalWeb"/>
              <w:spacing w:beforeAutospacing="0" w:afterAutospacing="0"/>
              <w:ind w:left="284" w:right="144"/>
              <w:rPr>
                <w:rFonts w:ascii="Calibri" w:hAnsi="Calibri"/>
                <w:sz w:val="13"/>
                <w:szCs w:val="13"/>
              </w:rPr>
            </w:pPr>
            <w:hyperlink r:id="rId8" w:history="1">
              <w:r w:rsidR="00861151" w:rsidRPr="005036A7">
                <w:rPr>
                  <w:rStyle w:val="Hyperlink"/>
                  <w:rFonts w:ascii="Calibri" w:hAnsi="Calibri"/>
                  <w:sz w:val="13"/>
                  <w:szCs w:val="13"/>
                </w:rPr>
                <w:t>research@skpsecurities.com</w:t>
              </w:r>
            </w:hyperlink>
          </w:p>
        </w:tc>
        <w:tc>
          <w:tcPr>
            <w:tcW w:w="4392" w:type="dxa"/>
            <w:gridSpan w:val="2"/>
            <w:tcBorders>
              <w:top w:val="nil"/>
              <w:left w:val="nil"/>
              <w:bottom w:val="dotted" w:sz="8" w:space="0" w:color="auto"/>
              <w:right w:val="dotted" w:sz="8" w:space="0" w:color="auto"/>
            </w:tcBorders>
            <w:tcMar>
              <w:top w:w="0" w:type="dxa"/>
              <w:left w:w="108" w:type="dxa"/>
              <w:bottom w:w="0" w:type="dxa"/>
              <w:right w:w="108" w:type="dxa"/>
            </w:tcMar>
            <w:hideMark/>
          </w:tcPr>
          <w:p w:rsidR="00861151" w:rsidRDefault="00DE216B" w:rsidP="00861151">
            <w:pPr>
              <w:pStyle w:val="NormalWeb"/>
              <w:spacing w:beforeAutospacing="0" w:afterAutospacing="0"/>
              <w:ind w:left="284" w:right="144"/>
              <w:rPr>
                <w:rFonts w:ascii="Calibri" w:hAnsi="Calibri"/>
                <w:sz w:val="13"/>
                <w:szCs w:val="13"/>
              </w:rPr>
            </w:pPr>
            <w:hyperlink r:id="rId9" w:history="1">
              <w:r w:rsidR="00861151">
                <w:rPr>
                  <w:rStyle w:val="Hyperlink"/>
                  <w:rFonts w:ascii="Calibri" w:hAnsi="Calibri"/>
                  <w:sz w:val="13"/>
                  <w:szCs w:val="13"/>
                </w:rPr>
                <w:t>skp.sec@bloomberg.com</w:t>
              </w:r>
            </w:hyperlink>
          </w:p>
        </w:tc>
      </w:tr>
      <w:tr w:rsidR="00861151" w:rsidTr="00861151">
        <w:trPr>
          <w:trHeight w:val="692"/>
        </w:trPr>
        <w:tc>
          <w:tcPr>
            <w:tcW w:w="10635" w:type="dxa"/>
            <w:gridSpan w:val="5"/>
            <w:tcMar>
              <w:top w:w="0" w:type="dxa"/>
              <w:left w:w="108" w:type="dxa"/>
              <w:bottom w:w="0" w:type="dxa"/>
              <w:right w:w="108" w:type="dxa"/>
            </w:tcMar>
            <w:hideMark/>
          </w:tcPr>
          <w:p w:rsidR="00861151" w:rsidRDefault="00DE216B" w:rsidP="00861151">
            <w:pPr>
              <w:pStyle w:val="NormalWeb"/>
              <w:spacing w:before="0" w:beforeAutospacing="0" w:afterAutospacing="0"/>
              <w:ind w:left="284" w:right="144"/>
              <w:jc w:val="center"/>
              <w:rPr>
                <w:rFonts w:eastAsia="Calibri"/>
                <w:sz w:val="6"/>
                <w:szCs w:val="6"/>
              </w:rPr>
            </w:pPr>
            <w:r w:rsidRPr="00DE216B">
              <w:rPr>
                <w:noProof/>
              </w:rPr>
              <w:pict>
                <v:rect id="Rectangle 39" o:spid="_x0000_s1027" style="position:absolute;left:0;text-align:left;margin-left:-2.55pt;margin-top:4.1pt;width:489.6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" filled="f" fillcolor="purple" stroked="f" strokecolor="#8484ae">
                  <v:textbox style="mso-next-textbox:#Rectangle 39">
                    <w:txbxContent>
                      <w:p w:rsidR="00861151" w:rsidRDefault="00861151" w:rsidP="00861151">
                        <w:pPr>
                          <w:pStyle w:val="NormalWeb"/>
                          <w:jc w:val="center"/>
                        </w:pPr>
                        <w:r>
                          <w:rPr>
                            <w:rFonts w:ascii="Calibri" w:hAnsi="Calibri"/>
                            <w:sz w:val="16"/>
                            <w:szCs w:val="16"/>
                          </w:rPr>
                          <w:t xml:space="preserve">                 Private Wealth | Broking | Distribution | Institutional Equities | Investment Banking</w:t>
                        </w:r>
                      </w:p>
                    </w:txbxContent>
                  </v:textbox>
                </v:rect>
              </w:pict>
            </w:r>
          </w:p>
          <w:p w:rsidR="00861151" w:rsidRDefault="00861151" w:rsidP="00861151">
            <w:pPr>
              <w:pStyle w:val="NormalWeb"/>
              <w:spacing w:beforeAutospacing="0" w:afterAutospacing="0"/>
              <w:ind w:left="284" w:right="144"/>
              <w:jc w:val="center"/>
              <w:rPr>
                <w:sz w:val="16"/>
                <w:szCs w:val="16"/>
              </w:rPr>
            </w:pPr>
            <w:r>
              <w:rPr>
                <w:sz w:val="16"/>
                <w:szCs w:val="16"/>
              </w:rPr>
              <w:t xml:space="preserve">                                   </w:t>
            </w:r>
          </w:p>
          <w:p w:rsidR="00861151" w:rsidRPr="005138E9" w:rsidRDefault="00861151" w:rsidP="00861151">
            <w:pPr>
              <w:pStyle w:val="NormalWeb"/>
              <w:spacing w:before="0" w:beforeAutospacing="0" w:after="0" w:afterAutospacing="0" w:line="240" w:lineRule="exact"/>
              <w:jc w:val="center"/>
              <w:rPr>
                <w:rFonts w:ascii="Calibri" w:hAnsi="Calibri"/>
                <w:sz w:val="16"/>
                <w:szCs w:val="16"/>
              </w:rPr>
            </w:pPr>
            <w:r w:rsidRPr="005138E9">
              <w:rPr>
                <w:rFonts w:ascii="Calibri" w:hAnsi="Calibri"/>
                <w:sz w:val="16"/>
                <w:szCs w:val="16"/>
              </w:rPr>
              <w:t xml:space="preserve">NSE &amp; BSE – </w:t>
            </w:r>
            <w:r w:rsidR="008F7EB0" w:rsidRPr="008F7EB0">
              <w:rPr>
                <w:rFonts w:ascii="Calibri" w:hAnsi="Calibri"/>
                <w:sz w:val="16"/>
                <w:szCs w:val="16"/>
              </w:rPr>
              <w:t xml:space="preserve"> INZ000199335</w:t>
            </w:r>
            <w:r w:rsidRPr="005138E9">
              <w:rPr>
                <w:rFonts w:ascii="Calibri" w:hAnsi="Calibri"/>
                <w:sz w:val="16"/>
                <w:szCs w:val="16"/>
              </w:rPr>
              <w:t>, NSDL&amp; CDSL – IN-DP-15-2015, Research Analyst- INH300002902,</w:t>
            </w:r>
          </w:p>
          <w:p w:rsidR="00861151" w:rsidRPr="005138E9" w:rsidRDefault="00861151" w:rsidP="00861151">
            <w:pPr>
              <w:pStyle w:val="NormalWeb"/>
              <w:spacing w:before="0" w:beforeAutospacing="0" w:after="0" w:afterAutospacing="0" w:line="240" w:lineRule="exact"/>
              <w:jc w:val="center"/>
              <w:rPr>
                <w:rFonts w:ascii="Calibri" w:hAnsi="Calibri"/>
                <w:sz w:val="16"/>
                <w:szCs w:val="16"/>
              </w:rPr>
            </w:pPr>
            <w:r w:rsidRPr="005138E9">
              <w:rPr>
                <w:rFonts w:ascii="Calibri" w:hAnsi="Calibri"/>
                <w:sz w:val="16"/>
                <w:szCs w:val="16"/>
              </w:rPr>
              <w:t>Merchant Banker -</w:t>
            </w:r>
            <w:r w:rsidR="008F7EB0" w:rsidRPr="008F7EB0">
              <w:rPr>
                <w:rFonts w:ascii="Calibri" w:hAnsi="Calibri"/>
                <w:sz w:val="16"/>
                <w:szCs w:val="16"/>
              </w:rPr>
              <w:t xml:space="preserve"> INM000012670</w:t>
            </w:r>
            <w:r w:rsidRPr="005138E9">
              <w:rPr>
                <w:rFonts w:ascii="Calibri" w:hAnsi="Calibri"/>
                <w:sz w:val="16"/>
                <w:szCs w:val="16"/>
              </w:rPr>
              <w:t>, Portfolio Manager -</w:t>
            </w:r>
            <w:r w:rsidR="008F7EB0">
              <w:rPr>
                <w:rFonts w:ascii="Calibri" w:hAnsi="Calibri"/>
                <w:sz w:val="16"/>
                <w:szCs w:val="16"/>
              </w:rPr>
              <w:t xml:space="preserve"> </w:t>
            </w:r>
            <w:r w:rsidR="008F7EB0" w:rsidRPr="008F7EB0">
              <w:rPr>
                <w:rFonts w:ascii="Calibri" w:hAnsi="Calibri"/>
                <w:sz w:val="16"/>
                <w:szCs w:val="16"/>
              </w:rPr>
              <w:t>INP000006509</w:t>
            </w:r>
            <w:r w:rsidRPr="005138E9">
              <w:rPr>
                <w:rFonts w:ascii="Calibri" w:hAnsi="Calibri"/>
                <w:sz w:val="16"/>
                <w:szCs w:val="16"/>
              </w:rPr>
              <w:t>, ARN-0006</w:t>
            </w:r>
          </w:p>
          <w:p w:rsidR="00861151" w:rsidRPr="00730D17" w:rsidRDefault="00861151" w:rsidP="00861151">
            <w:pPr>
              <w:pStyle w:val="NormalWeb"/>
              <w:spacing w:beforeAutospacing="0" w:afterAutospacing="0"/>
              <w:ind w:left="284" w:right="144"/>
              <w:rPr>
                <w:rFonts w:ascii="Calibri" w:hAnsi="Calibri"/>
                <w:sz w:val="18"/>
                <w:szCs w:val="18"/>
              </w:rPr>
            </w:pPr>
          </w:p>
        </w:tc>
      </w:tr>
    </w:tbl>
    <w:p w:rsidR="00861151" w:rsidRPr="000C1007" w:rsidRDefault="00861151" w:rsidP="00F96800">
      <w:pPr>
        <w:jc w:val="both"/>
        <w:rPr>
          <w:rFonts w:ascii="Times New Roman" w:eastAsiaTheme="minorEastAsia" w:hAnsi="Times New Roman" w:cs="Times New Roman"/>
        </w:rPr>
      </w:pPr>
    </w:p>
    <w:sectPr w:rsidR="00861151" w:rsidRPr="000C1007" w:rsidSect="004819E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FB5" w:rsidRDefault="00AF4FB5" w:rsidP="002D0B27">
      <w:pPr>
        <w:spacing w:after="0" w:line="240" w:lineRule="auto"/>
      </w:pPr>
      <w:r>
        <w:separator/>
      </w:r>
    </w:p>
  </w:endnote>
  <w:endnote w:type="continuationSeparator" w:id="1">
    <w:p w:rsidR="00AF4FB5" w:rsidRDefault="00AF4FB5" w:rsidP="002D0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7080"/>
      <w:docPartObj>
        <w:docPartGallery w:val="Page Numbers (Bottom of Page)"/>
        <w:docPartUnique/>
      </w:docPartObj>
    </w:sdtPr>
    <w:sdtContent>
      <w:p w:rsidR="00376B41" w:rsidRDefault="00DE216B">
        <w:pPr>
          <w:pStyle w:val="Footer"/>
          <w:jc w:val="right"/>
        </w:pPr>
        <w:r>
          <w:fldChar w:fldCharType="begin"/>
        </w:r>
        <w:r w:rsidR="00376B41">
          <w:instrText xml:space="preserve"> PAGE   \* MERGEFORMAT </w:instrText>
        </w:r>
        <w:r>
          <w:fldChar w:fldCharType="separate"/>
        </w:r>
        <w:r w:rsidR="008F7EB0">
          <w:rPr>
            <w:noProof/>
          </w:rPr>
          <w:t>1</w:t>
        </w:r>
        <w:r>
          <w:rPr>
            <w:noProof/>
          </w:rPr>
          <w:fldChar w:fldCharType="end"/>
        </w:r>
      </w:p>
    </w:sdtContent>
  </w:sdt>
  <w:p w:rsidR="00376B41" w:rsidRDefault="00376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FB5" w:rsidRDefault="00AF4FB5" w:rsidP="002D0B27">
      <w:pPr>
        <w:spacing w:after="0" w:line="240" w:lineRule="auto"/>
      </w:pPr>
      <w:r>
        <w:separator/>
      </w:r>
    </w:p>
  </w:footnote>
  <w:footnote w:type="continuationSeparator" w:id="1">
    <w:p w:rsidR="00AF4FB5" w:rsidRDefault="00AF4FB5" w:rsidP="002D0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6DA"/>
    <w:multiLevelType w:val="hybridMultilevel"/>
    <w:tmpl w:val="CFBC0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F6122"/>
    <w:multiLevelType w:val="hybridMultilevel"/>
    <w:tmpl w:val="578AE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038B8"/>
    <w:multiLevelType w:val="hybridMultilevel"/>
    <w:tmpl w:val="578AE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B2A74"/>
    <w:multiLevelType w:val="hybridMultilevel"/>
    <w:tmpl w:val="FEFA6198"/>
    <w:lvl w:ilvl="0" w:tplc="FDF8B024">
      <w:start w:val="1"/>
      <w:numFmt w:val="lowerRoman"/>
      <w:lvlText w:val="(%1)"/>
      <w:lvlJc w:val="left"/>
      <w:pPr>
        <w:ind w:left="2160" w:hanging="720"/>
      </w:pPr>
      <w:rPr>
        <w:rFonts w:eastAsiaTheme="minorHAns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9C6321"/>
    <w:multiLevelType w:val="hybridMultilevel"/>
    <w:tmpl w:val="578AE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86CAE"/>
    <w:multiLevelType w:val="hybridMultilevel"/>
    <w:tmpl w:val="0B0C3076"/>
    <w:lvl w:ilvl="0" w:tplc="03147190">
      <w:start w:val="1"/>
      <w:numFmt w:val="lowerRoman"/>
      <w:lvlText w:val="(%1)"/>
      <w:lvlJc w:val="left"/>
      <w:pPr>
        <w:ind w:left="2160" w:hanging="720"/>
      </w:pPr>
      <w:rPr>
        <w:rFonts w:ascii="Calibri" w:hAnsi="Calibri" w:cs="Calibri" w:hint="default"/>
        <w:sz w:val="1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6853F7"/>
    <w:multiLevelType w:val="hybridMultilevel"/>
    <w:tmpl w:val="544438EE"/>
    <w:lvl w:ilvl="0" w:tplc="CA3275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EF5FFA"/>
    <w:multiLevelType w:val="hybridMultilevel"/>
    <w:tmpl w:val="578AE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C722A"/>
    <w:multiLevelType w:val="hybridMultilevel"/>
    <w:tmpl w:val="30E4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6371A"/>
    <w:multiLevelType w:val="hybridMultilevel"/>
    <w:tmpl w:val="07189554"/>
    <w:lvl w:ilvl="0" w:tplc="7C16B688">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3F32CA"/>
    <w:multiLevelType w:val="hybridMultilevel"/>
    <w:tmpl w:val="0B0C3076"/>
    <w:lvl w:ilvl="0" w:tplc="03147190">
      <w:start w:val="1"/>
      <w:numFmt w:val="lowerRoman"/>
      <w:lvlText w:val="(%1)"/>
      <w:lvlJc w:val="left"/>
      <w:pPr>
        <w:ind w:left="2160" w:hanging="720"/>
      </w:pPr>
      <w:rPr>
        <w:rFonts w:ascii="Calibri" w:hAnsi="Calibri" w:cs="Calibri" w:hint="default"/>
        <w:sz w:val="1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4030A6"/>
    <w:multiLevelType w:val="hybridMultilevel"/>
    <w:tmpl w:val="578AE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56D48"/>
    <w:multiLevelType w:val="hybridMultilevel"/>
    <w:tmpl w:val="578AE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77529"/>
    <w:multiLevelType w:val="hybridMultilevel"/>
    <w:tmpl w:val="50564BB2"/>
    <w:lvl w:ilvl="0" w:tplc="4ED6E762">
      <w:start w:val="1"/>
      <w:numFmt w:val="upperRoman"/>
      <w:lvlText w:val="%1."/>
      <w:lvlJc w:val="left"/>
      <w:pPr>
        <w:ind w:left="1080" w:hanging="720"/>
      </w:pPr>
      <w:rPr>
        <w:rFonts w:eastAsiaTheme="min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12"/>
  </w:num>
  <w:num w:numId="6">
    <w:abstractNumId w:val="11"/>
  </w:num>
  <w:num w:numId="7">
    <w:abstractNumId w:val="10"/>
  </w:num>
  <w:num w:numId="8">
    <w:abstractNumId w:val="5"/>
  </w:num>
  <w:num w:numId="9">
    <w:abstractNumId w:val="7"/>
  </w:num>
  <w:num w:numId="10">
    <w:abstractNumId w:val="8"/>
  </w:num>
  <w:num w:numId="11">
    <w:abstractNumId w:val="9"/>
  </w:num>
  <w:num w:numId="12">
    <w:abstractNumId w:val="13"/>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DB2212"/>
    <w:rsid w:val="0002644C"/>
    <w:rsid w:val="0004082B"/>
    <w:rsid w:val="00050377"/>
    <w:rsid w:val="00061B2F"/>
    <w:rsid w:val="00063D5B"/>
    <w:rsid w:val="00076C18"/>
    <w:rsid w:val="000A487F"/>
    <w:rsid w:val="000C1007"/>
    <w:rsid w:val="000C5DF9"/>
    <w:rsid w:val="000F1DD0"/>
    <w:rsid w:val="000F281D"/>
    <w:rsid w:val="00132ECF"/>
    <w:rsid w:val="00192701"/>
    <w:rsid w:val="001A738F"/>
    <w:rsid w:val="001B376D"/>
    <w:rsid w:val="002017CA"/>
    <w:rsid w:val="00213152"/>
    <w:rsid w:val="00216054"/>
    <w:rsid w:val="002277F1"/>
    <w:rsid w:val="002572CA"/>
    <w:rsid w:val="002577B9"/>
    <w:rsid w:val="00260AE2"/>
    <w:rsid w:val="00266243"/>
    <w:rsid w:val="0028767A"/>
    <w:rsid w:val="0029440C"/>
    <w:rsid w:val="00294665"/>
    <w:rsid w:val="002C6419"/>
    <w:rsid w:val="002D0B27"/>
    <w:rsid w:val="002E1D56"/>
    <w:rsid w:val="002F358E"/>
    <w:rsid w:val="002F6E0A"/>
    <w:rsid w:val="00310390"/>
    <w:rsid w:val="0031634A"/>
    <w:rsid w:val="00323CB1"/>
    <w:rsid w:val="0032522D"/>
    <w:rsid w:val="00370902"/>
    <w:rsid w:val="00376B41"/>
    <w:rsid w:val="00384269"/>
    <w:rsid w:val="003B57BF"/>
    <w:rsid w:val="003C015A"/>
    <w:rsid w:val="003D0B3F"/>
    <w:rsid w:val="003F431E"/>
    <w:rsid w:val="00401081"/>
    <w:rsid w:val="004104A6"/>
    <w:rsid w:val="00436343"/>
    <w:rsid w:val="00470689"/>
    <w:rsid w:val="004819E4"/>
    <w:rsid w:val="00484683"/>
    <w:rsid w:val="004945D6"/>
    <w:rsid w:val="00497719"/>
    <w:rsid w:val="004A2B27"/>
    <w:rsid w:val="004B0A5C"/>
    <w:rsid w:val="004E7AEE"/>
    <w:rsid w:val="004F0056"/>
    <w:rsid w:val="004F109A"/>
    <w:rsid w:val="004F1671"/>
    <w:rsid w:val="00501176"/>
    <w:rsid w:val="0051629D"/>
    <w:rsid w:val="005250BA"/>
    <w:rsid w:val="0052536C"/>
    <w:rsid w:val="0053350B"/>
    <w:rsid w:val="00562A82"/>
    <w:rsid w:val="00581CE6"/>
    <w:rsid w:val="005B17B7"/>
    <w:rsid w:val="005B2620"/>
    <w:rsid w:val="005E7938"/>
    <w:rsid w:val="0061211A"/>
    <w:rsid w:val="006277AA"/>
    <w:rsid w:val="006325E7"/>
    <w:rsid w:val="00691515"/>
    <w:rsid w:val="006917F8"/>
    <w:rsid w:val="006A3341"/>
    <w:rsid w:val="006A749A"/>
    <w:rsid w:val="006C187E"/>
    <w:rsid w:val="006D380B"/>
    <w:rsid w:val="006E6D74"/>
    <w:rsid w:val="00722D46"/>
    <w:rsid w:val="0072728D"/>
    <w:rsid w:val="0073050B"/>
    <w:rsid w:val="00731E85"/>
    <w:rsid w:val="007403B4"/>
    <w:rsid w:val="0075320E"/>
    <w:rsid w:val="007603E1"/>
    <w:rsid w:val="007947E8"/>
    <w:rsid w:val="007A1012"/>
    <w:rsid w:val="007A3030"/>
    <w:rsid w:val="007A35DB"/>
    <w:rsid w:val="007A6EDF"/>
    <w:rsid w:val="007B4839"/>
    <w:rsid w:val="007E4778"/>
    <w:rsid w:val="007F15C3"/>
    <w:rsid w:val="00800D92"/>
    <w:rsid w:val="00804714"/>
    <w:rsid w:val="008076EC"/>
    <w:rsid w:val="00840CE8"/>
    <w:rsid w:val="00854EC4"/>
    <w:rsid w:val="00861151"/>
    <w:rsid w:val="0088069C"/>
    <w:rsid w:val="008D6FF0"/>
    <w:rsid w:val="008F7EB0"/>
    <w:rsid w:val="00901193"/>
    <w:rsid w:val="009122FF"/>
    <w:rsid w:val="0091622D"/>
    <w:rsid w:val="009208A3"/>
    <w:rsid w:val="00935A8B"/>
    <w:rsid w:val="009649B3"/>
    <w:rsid w:val="00971ED5"/>
    <w:rsid w:val="009765CB"/>
    <w:rsid w:val="009805ED"/>
    <w:rsid w:val="00990CB9"/>
    <w:rsid w:val="00992622"/>
    <w:rsid w:val="00992891"/>
    <w:rsid w:val="00992993"/>
    <w:rsid w:val="00992E94"/>
    <w:rsid w:val="009C7D86"/>
    <w:rsid w:val="009E5D7C"/>
    <w:rsid w:val="00A37BBF"/>
    <w:rsid w:val="00A45D10"/>
    <w:rsid w:val="00A522DA"/>
    <w:rsid w:val="00A53074"/>
    <w:rsid w:val="00A761B2"/>
    <w:rsid w:val="00A80F7E"/>
    <w:rsid w:val="00AA3DA7"/>
    <w:rsid w:val="00AE0658"/>
    <w:rsid w:val="00AF4FB5"/>
    <w:rsid w:val="00B10BE9"/>
    <w:rsid w:val="00B52B4C"/>
    <w:rsid w:val="00B80C60"/>
    <w:rsid w:val="00B80DED"/>
    <w:rsid w:val="00B86F18"/>
    <w:rsid w:val="00BA78EE"/>
    <w:rsid w:val="00BC74EE"/>
    <w:rsid w:val="00C102B4"/>
    <w:rsid w:val="00C16B41"/>
    <w:rsid w:val="00C203EB"/>
    <w:rsid w:val="00C31B26"/>
    <w:rsid w:val="00C326CD"/>
    <w:rsid w:val="00C36E83"/>
    <w:rsid w:val="00C607BA"/>
    <w:rsid w:val="00C808FF"/>
    <w:rsid w:val="00C8301D"/>
    <w:rsid w:val="00C862DB"/>
    <w:rsid w:val="00C9469E"/>
    <w:rsid w:val="00C94A5B"/>
    <w:rsid w:val="00CB6A25"/>
    <w:rsid w:val="00CD01C0"/>
    <w:rsid w:val="00D2165D"/>
    <w:rsid w:val="00D457AB"/>
    <w:rsid w:val="00DA0B09"/>
    <w:rsid w:val="00DB2212"/>
    <w:rsid w:val="00DB2780"/>
    <w:rsid w:val="00DB58CA"/>
    <w:rsid w:val="00DB5C67"/>
    <w:rsid w:val="00DB6498"/>
    <w:rsid w:val="00DD0810"/>
    <w:rsid w:val="00DE216B"/>
    <w:rsid w:val="00DF59E8"/>
    <w:rsid w:val="00E665F3"/>
    <w:rsid w:val="00E73D26"/>
    <w:rsid w:val="00E8259F"/>
    <w:rsid w:val="00E83C65"/>
    <w:rsid w:val="00EA09F8"/>
    <w:rsid w:val="00EA0C55"/>
    <w:rsid w:val="00EB4FE9"/>
    <w:rsid w:val="00ED3E68"/>
    <w:rsid w:val="00EF2C34"/>
    <w:rsid w:val="00EF41F9"/>
    <w:rsid w:val="00F55B39"/>
    <w:rsid w:val="00F75CDB"/>
    <w:rsid w:val="00F86FD8"/>
    <w:rsid w:val="00F96800"/>
    <w:rsid w:val="00FE5671"/>
    <w:rsid w:val="00FE78DF"/>
    <w:rsid w:val="00FE7D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ED"/>
    <w:pPr>
      <w:ind w:left="720"/>
      <w:contextualSpacing/>
    </w:pPr>
  </w:style>
  <w:style w:type="paragraph" w:customStyle="1" w:styleId="Default">
    <w:name w:val="Default"/>
    <w:rsid w:val="006C187E"/>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32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B1"/>
    <w:rPr>
      <w:rFonts w:ascii="Tahoma" w:hAnsi="Tahoma" w:cs="Tahoma"/>
      <w:sz w:val="16"/>
      <w:szCs w:val="16"/>
    </w:rPr>
  </w:style>
  <w:style w:type="table" w:styleId="TableGrid">
    <w:name w:val="Table Grid"/>
    <w:basedOn w:val="TableNormal"/>
    <w:uiPriority w:val="59"/>
    <w:rsid w:val="004B0A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27"/>
  </w:style>
  <w:style w:type="paragraph" w:styleId="Footer">
    <w:name w:val="footer"/>
    <w:basedOn w:val="Normal"/>
    <w:link w:val="FooterChar"/>
    <w:uiPriority w:val="99"/>
    <w:unhideWhenUsed/>
    <w:rsid w:val="002D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27"/>
  </w:style>
  <w:style w:type="paragraph" w:customStyle="1" w:styleId="gmail-msobodytext">
    <w:name w:val="gmail-msobodytext"/>
    <w:basedOn w:val="Normal"/>
    <w:rsid w:val="00FE78DF"/>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861151"/>
    <w:rPr>
      <w:color w:val="5F5F5F"/>
      <w:u w:val="single"/>
    </w:rPr>
  </w:style>
  <w:style w:type="paragraph" w:styleId="NormalWeb">
    <w:name w:val="Normal (Web)"/>
    <w:basedOn w:val="Normal"/>
    <w:uiPriority w:val="99"/>
    <w:rsid w:val="008611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ED"/>
    <w:pPr>
      <w:ind w:left="720"/>
      <w:contextualSpacing/>
    </w:pPr>
  </w:style>
  <w:style w:type="paragraph" w:customStyle="1" w:styleId="Default">
    <w:name w:val="Default"/>
    <w:rsid w:val="006C187E"/>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32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B1"/>
    <w:rPr>
      <w:rFonts w:ascii="Tahoma" w:hAnsi="Tahoma" w:cs="Tahoma"/>
      <w:sz w:val="16"/>
      <w:szCs w:val="16"/>
    </w:rPr>
  </w:style>
  <w:style w:type="table" w:styleId="TableGrid">
    <w:name w:val="Table Grid"/>
    <w:basedOn w:val="TableNormal"/>
    <w:uiPriority w:val="59"/>
    <w:rsid w:val="004B0A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27"/>
  </w:style>
  <w:style w:type="paragraph" w:styleId="Footer">
    <w:name w:val="footer"/>
    <w:basedOn w:val="Normal"/>
    <w:link w:val="FooterChar"/>
    <w:uiPriority w:val="99"/>
    <w:unhideWhenUsed/>
    <w:rsid w:val="002D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27"/>
  </w:style>
  <w:style w:type="paragraph" w:customStyle="1" w:styleId="gmail-msobodytext">
    <w:name w:val="gmail-msobodytext"/>
    <w:basedOn w:val="Normal"/>
    <w:rsid w:val="00FE78D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search@skpsecurities.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p.sec@bloombe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6397-DB0C-40AF-9E35-08024B1C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dc:creator>
  <cp:keywords/>
  <dc:description/>
  <cp:lastModifiedBy>Nikhil Saboo</cp:lastModifiedBy>
  <cp:revision>6</cp:revision>
  <dcterms:created xsi:type="dcterms:W3CDTF">2019-05-03T09:41:00Z</dcterms:created>
  <dcterms:modified xsi:type="dcterms:W3CDTF">2019-05-03T11:14:00Z</dcterms:modified>
</cp:coreProperties>
</file>